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35" w:rsidRPr="00974B51" w:rsidRDefault="00F22D35" w:rsidP="00A57385">
      <w:pPr>
        <w:ind w:left="-180"/>
        <w:rPr>
          <w:rFonts w:ascii="Arial" w:hAnsi="Arial" w:cs="Arial"/>
          <w:sz w:val="20"/>
          <w:szCs w:val="20"/>
        </w:rPr>
      </w:pPr>
    </w:p>
    <w:tbl>
      <w:tblPr>
        <w:tblW w:w="0" w:type="auto"/>
        <w:tblInd w:w="-72" w:type="dxa"/>
        <w:tblLook w:val="01E0"/>
      </w:tblPr>
      <w:tblGrid>
        <w:gridCol w:w="5675"/>
        <w:gridCol w:w="3816"/>
      </w:tblGrid>
      <w:tr w:rsidR="00F22D35" w:rsidRPr="00266A4B" w:rsidTr="00C82150">
        <w:trPr>
          <w:trHeight w:val="1355"/>
        </w:trPr>
        <w:tc>
          <w:tcPr>
            <w:tcW w:w="5675" w:type="dxa"/>
          </w:tcPr>
          <w:p w:rsidR="00F22D35" w:rsidRPr="00266A4B" w:rsidRDefault="00EB4B7B" w:rsidP="00BC51D6">
            <w:pPr>
              <w:pStyle w:val="Header"/>
              <w:rPr>
                <w:rFonts w:ascii="Arial" w:hAnsi="Arial" w:cs="Arial"/>
                <w:sz w:val="20"/>
                <w:szCs w:val="20"/>
              </w:rPr>
            </w:pPr>
            <w:r>
              <w:rPr>
                <w:noProof/>
              </w:rPr>
              <w:drawing>
                <wp:inline distT="0" distB="0" distL="0" distR="0">
                  <wp:extent cx="3286125" cy="600075"/>
                  <wp:effectExtent l="19050" t="0" r="9525"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4"/>
                          <a:srcRect/>
                          <a:stretch>
                            <a:fillRect/>
                          </a:stretch>
                        </pic:blipFill>
                        <pic:spPr bwMode="auto">
                          <a:xfrm>
                            <a:off x="0" y="0"/>
                            <a:ext cx="3286125" cy="600075"/>
                          </a:xfrm>
                          <a:prstGeom prst="rect">
                            <a:avLst/>
                          </a:prstGeom>
                          <a:noFill/>
                          <a:ln w="9525">
                            <a:noFill/>
                            <a:miter lim="800000"/>
                            <a:headEnd/>
                            <a:tailEnd/>
                          </a:ln>
                        </pic:spPr>
                      </pic:pic>
                    </a:graphicData>
                  </a:graphic>
                </wp:inline>
              </w:drawing>
            </w:r>
          </w:p>
        </w:tc>
        <w:tc>
          <w:tcPr>
            <w:tcW w:w="3816" w:type="dxa"/>
          </w:tcPr>
          <w:p w:rsidR="00F22D35" w:rsidRPr="00266A4B" w:rsidRDefault="00EB4B7B" w:rsidP="00BC51D6">
            <w:pPr>
              <w:pStyle w:val="Header"/>
              <w:rPr>
                <w:rFonts w:ascii="Arial" w:hAnsi="Arial" w:cs="Arial"/>
                <w:sz w:val="20"/>
                <w:szCs w:val="20"/>
              </w:rPr>
            </w:pPr>
            <w:r>
              <w:rPr>
                <w:rFonts w:ascii="Arial" w:hAnsi="Arial" w:cs="Arial"/>
                <w:noProof/>
                <w:sz w:val="20"/>
                <w:szCs w:val="20"/>
              </w:rPr>
              <w:drawing>
                <wp:inline distT="0" distB="0" distL="0" distR="0">
                  <wp:extent cx="2257425" cy="609600"/>
                  <wp:effectExtent l="19050" t="0" r="9525" b="0"/>
                  <wp:docPr id="2" name="Picture 2" descr="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_logo"/>
                          <pic:cNvPicPr>
                            <a:picLocks noChangeAspect="1" noChangeArrowheads="1"/>
                          </pic:cNvPicPr>
                        </pic:nvPicPr>
                        <pic:blipFill>
                          <a:blip r:embed="rId5"/>
                          <a:srcRect/>
                          <a:stretch>
                            <a:fillRect/>
                          </a:stretch>
                        </pic:blipFill>
                        <pic:spPr bwMode="auto">
                          <a:xfrm>
                            <a:off x="0" y="0"/>
                            <a:ext cx="2257425" cy="609600"/>
                          </a:xfrm>
                          <a:prstGeom prst="rect">
                            <a:avLst/>
                          </a:prstGeom>
                          <a:noFill/>
                          <a:ln w="9525">
                            <a:noFill/>
                            <a:miter lim="800000"/>
                            <a:headEnd/>
                            <a:tailEnd/>
                          </a:ln>
                        </pic:spPr>
                      </pic:pic>
                    </a:graphicData>
                  </a:graphic>
                </wp:inline>
              </w:drawing>
            </w:r>
          </w:p>
        </w:tc>
      </w:tr>
    </w:tbl>
    <w:p w:rsidR="00BA36C4" w:rsidRDefault="00BA36C4" w:rsidP="00BA36C4">
      <w:pPr>
        <w:autoSpaceDE w:val="0"/>
        <w:autoSpaceDN w:val="0"/>
        <w:adjustRightInd w:val="0"/>
        <w:spacing w:after="240" w:line="240" w:lineRule="atLeast"/>
        <w:rPr>
          <w:rFonts w:ascii="Arial" w:hAnsi="Arial" w:cs="Arial"/>
          <w:b/>
          <w:bCs/>
          <w:color w:val="000000"/>
          <w:sz w:val="28"/>
          <w:szCs w:val="32"/>
        </w:rPr>
      </w:pPr>
      <w:r>
        <w:rPr>
          <w:rFonts w:ascii="Arial" w:hAnsi="Arial" w:cs="Arial"/>
          <w:b/>
          <w:bCs/>
          <w:color w:val="000000"/>
          <w:sz w:val="28"/>
          <w:szCs w:val="32"/>
        </w:rPr>
        <w:t>News Release</w:t>
      </w:r>
    </w:p>
    <w:p w:rsidR="00BA36C4" w:rsidRDefault="00BA36C4" w:rsidP="00BA36C4">
      <w:pPr>
        <w:autoSpaceDE w:val="0"/>
        <w:autoSpaceDN w:val="0"/>
        <w:adjustRightInd w:val="0"/>
        <w:jc w:val="both"/>
        <w:rPr>
          <w:rFonts w:ascii="Arial" w:hAnsi="Arial" w:cs="Arial"/>
          <w:b/>
          <w:sz w:val="20"/>
        </w:rPr>
      </w:pPr>
      <w:r>
        <w:rPr>
          <w:rFonts w:ascii="Arial" w:hAnsi="Arial" w:cs="Arial"/>
          <w:b/>
          <w:sz w:val="20"/>
        </w:rPr>
        <w:t>In Washington, D.C.:</w:t>
      </w:r>
    </w:p>
    <w:p w:rsidR="00BA36C4" w:rsidRDefault="00BA36C4" w:rsidP="00BA36C4">
      <w:pPr>
        <w:autoSpaceDE w:val="0"/>
        <w:autoSpaceDN w:val="0"/>
        <w:adjustRightInd w:val="0"/>
        <w:jc w:val="both"/>
        <w:rPr>
          <w:rFonts w:ascii="Arial" w:hAnsi="Arial" w:cs="Arial"/>
          <w:bCs/>
          <w:sz w:val="20"/>
        </w:rPr>
      </w:pPr>
      <w:r>
        <w:rPr>
          <w:rFonts w:ascii="Arial" w:hAnsi="Arial" w:cs="Arial"/>
          <w:bCs/>
          <w:sz w:val="20"/>
        </w:rPr>
        <w:t xml:space="preserve">Nadine </w:t>
      </w:r>
      <w:proofErr w:type="spellStart"/>
      <w:r>
        <w:rPr>
          <w:rFonts w:ascii="Arial" w:hAnsi="Arial" w:cs="Arial"/>
          <w:bCs/>
          <w:sz w:val="20"/>
        </w:rPr>
        <w:t>Ghannam</w:t>
      </w:r>
      <w:proofErr w:type="spellEnd"/>
    </w:p>
    <w:p w:rsidR="00BA36C4" w:rsidRDefault="00BA36C4" w:rsidP="00BA36C4">
      <w:pPr>
        <w:autoSpaceDE w:val="0"/>
        <w:autoSpaceDN w:val="0"/>
        <w:adjustRightInd w:val="0"/>
        <w:jc w:val="both"/>
        <w:rPr>
          <w:rFonts w:ascii="Arial" w:hAnsi="Arial" w:cs="Arial"/>
          <w:bCs/>
          <w:sz w:val="20"/>
        </w:rPr>
      </w:pPr>
      <w:r>
        <w:rPr>
          <w:rFonts w:ascii="Arial" w:hAnsi="Arial" w:cs="Arial"/>
          <w:bCs/>
          <w:sz w:val="20"/>
        </w:rPr>
        <w:t xml:space="preserve">Phone:  </w:t>
      </w:r>
      <w:r>
        <w:rPr>
          <w:rFonts w:ascii="Arial" w:hAnsi="Arial" w:cs="Arial"/>
          <w:color w:val="000000"/>
          <w:sz w:val="20"/>
          <w:szCs w:val="20"/>
        </w:rPr>
        <w:t>+1 (202) 473-3011</w:t>
      </w:r>
      <w:r>
        <w:rPr>
          <w:rFonts w:ascii="Arial" w:hAnsi="Arial" w:cs="Arial"/>
          <w:color w:val="000000"/>
          <w:sz w:val="20"/>
          <w:szCs w:val="20"/>
        </w:rPr>
        <w:tab/>
      </w:r>
    </w:p>
    <w:p w:rsidR="00BA36C4" w:rsidRDefault="00BA36C4" w:rsidP="00BA36C4">
      <w:pPr>
        <w:autoSpaceDE w:val="0"/>
        <w:autoSpaceDN w:val="0"/>
        <w:adjustRightInd w:val="0"/>
        <w:jc w:val="both"/>
        <w:rPr>
          <w:rFonts w:ascii="Arial" w:hAnsi="Arial" w:cs="Arial"/>
          <w:sz w:val="20"/>
        </w:rPr>
      </w:pPr>
      <w:r>
        <w:rPr>
          <w:rFonts w:ascii="Arial" w:hAnsi="Arial" w:cs="Arial"/>
          <w:bCs/>
          <w:sz w:val="20"/>
        </w:rPr>
        <w:t>E-mail: nsghannam@ifc.org</w:t>
      </w:r>
    </w:p>
    <w:p w:rsidR="00F22D35" w:rsidRDefault="00F22D35" w:rsidP="00C82150">
      <w:pPr>
        <w:autoSpaceDE w:val="0"/>
        <w:autoSpaceDN w:val="0"/>
        <w:adjustRightInd w:val="0"/>
        <w:rPr>
          <w:rFonts w:ascii="Helv" w:hAnsi="Helv" w:cs="Helv"/>
          <w:color w:val="000000"/>
          <w:sz w:val="20"/>
          <w:szCs w:val="20"/>
        </w:rPr>
      </w:pPr>
    </w:p>
    <w:p w:rsidR="00F22D35" w:rsidRPr="00C82150" w:rsidRDefault="00F22D35" w:rsidP="002037C1">
      <w:pPr>
        <w:rPr>
          <w:rFonts w:ascii="Arial" w:hAnsi="Arial" w:cs="Arial"/>
          <w:b/>
          <w:bCs/>
          <w:color w:val="000000"/>
          <w:sz w:val="22"/>
          <w:szCs w:val="22"/>
        </w:rPr>
      </w:pPr>
      <w:r w:rsidRPr="00C82150">
        <w:rPr>
          <w:rFonts w:ascii="Arial" w:hAnsi="Arial" w:cs="Arial"/>
          <w:b/>
          <w:i/>
          <w:sz w:val="22"/>
          <w:szCs w:val="22"/>
        </w:rPr>
        <w:t>Doing Business 2010:</w:t>
      </w:r>
      <w:r w:rsidRPr="00C82150">
        <w:rPr>
          <w:rFonts w:ascii="Arial" w:hAnsi="Arial" w:cs="Arial"/>
          <w:i/>
          <w:sz w:val="22"/>
          <w:szCs w:val="22"/>
        </w:rPr>
        <w:t xml:space="preserve"> </w:t>
      </w:r>
      <w:r w:rsidRPr="00C82150">
        <w:rPr>
          <w:rFonts w:ascii="Arial" w:hAnsi="Arial" w:cs="Arial"/>
          <w:b/>
          <w:sz w:val="22"/>
          <w:szCs w:val="22"/>
        </w:rPr>
        <w:t xml:space="preserve">More Caribbean Economies </w:t>
      </w:r>
      <w:r>
        <w:rPr>
          <w:rFonts w:ascii="Arial" w:hAnsi="Arial" w:cs="Arial"/>
          <w:b/>
          <w:sz w:val="22"/>
          <w:szCs w:val="22"/>
        </w:rPr>
        <w:t xml:space="preserve">Reform </w:t>
      </w:r>
      <w:r w:rsidRPr="00C82150">
        <w:rPr>
          <w:rFonts w:ascii="Arial" w:hAnsi="Arial" w:cs="Arial"/>
          <w:b/>
          <w:sz w:val="22"/>
          <w:szCs w:val="22"/>
        </w:rPr>
        <w:t>Business Regulat</w:t>
      </w:r>
      <w:r>
        <w:rPr>
          <w:rFonts w:ascii="Arial" w:hAnsi="Arial" w:cs="Arial"/>
          <w:b/>
          <w:sz w:val="22"/>
          <w:szCs w:val="22"/>
        </w:rPr>
        <w:t>ion</w:t>
      </w:r>
    </w:p>
    <w:p w:rsidR="00F22D35" w:rsidRPr="002037C1" w:rsidRDefault="00F22D35" w:rsidP="00C82150">
      <w:pPr>
        <w:autoSpaceDE w:val="0"/>
        <w:autoSpaceDN w:val="0"/>
        <w:adjustRightInd w:val="0"/>
        <w:rPr>
          <w:rFonts w:ascii="Arial" w:hAnsi="Arial" w:cs="Arial"/>
          <w:b/>
          <w:bCs/>
          <w:color w:val="000000"/>
          <w:sz w:val="20"/>
          <w:szCs w:val="20"/>
        </w:rPr>
      </w:pPr>
    </w:p>
    <w:p w:rsidR="007A0E58" w:rsidRDefault="00F22D35" w:rsidP="00C82150">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Washington, D.C., September</w:t>
      </w:r>
      <w:r w:rsidRPr="002D362C">
        <w:rPr>
          <w:rFonts w:ascii="Arial" w:hAnsi="Arial" w:cs="Arial"/>
          <w:b/>
          <w:bCs/>
          <w:color w:val="000000"/>
          <w:sz w:val="20"/>
          <w:szCs w:val="20"/>
        </w:rPr>
        <w:t xml:space="preserve"> </w:t>
      </w:r>
      <w:r>
        <w:rPr>
          <w:rFonts w:ascii="Arial" w:hAnsi="Arial" w:cs="Arial"/>
          <w:b/>
          <w:bCs/>
          <w:color w:val="000000"/>
          <w:sz w:val="20"/>
          <w:szCs w:val="20"/>
        </w:rPr>
        <w:t>9, 2009</w:t>
      </w:r>
      <w:r w:rsidRPr="00EE4C4D">
        <w:rPr>
          <w:rFonts w:ascii="Arial" w:hAnsi="Arial" w:cs="Arial"/>
          <w:color w:val="000000"/>
          <w:sz w:val="20"/>
          <w:szCs w:val="22"/>
        </w:rPr>
        <w:t>—</w:t>
      </w:r>
      <w:r>
        <w:rPr>
          <w:rFonts w:ascii="Arial" w:hAnsi="Arial" w:cs="Arial"/>
          <w:color w:val="000000"/>
          <w:sz w:val="20"/>
          <w:szCs w:val="20"/>
        </w:rPr>
        <w:t xml:space="preserve">In a record year for regulatory reform worldwide, </w:t>
      </w:r>
      <w:r w:rsidRPr="00702D28">
        <w:rPr>
          <w:rFonts w:ascii="Arial" w:hAnsi="Arial" w:cs="Arial"/>
          <w:sz w:val="20"/>
          <w:szCs w:val="20"/>
        </w:rPr>
        <w:t xml:space="preserve">economies </w:t>
      </w:r>
      <w:r>
        <w:rPr>
          <w:rFonts w:ascii="Arial" w:hAnsi="Arial" w:cs="Arial"/>
          <w:sz w:val="20"/>
          <w:szCs w:val="20"/>
        </w:rPr>
        <w:t>in</w:t>
      </w:r>
      <w:r>
        <w:rPr>
          <w:rFonts w:ascii="Arial" w:hAnsi="Arial" w:cs="Arial"/>
          <w:color w:val="000000"/>
          <w:sz w:val="20"/>
          <w:szCs w:val="20"/>
        </w:rPr>
        <w:t xml:space="preserve"> the Caribbean</w:t>
      </w:r>
      <w:r w:rsidRPr="00702D28">
        <w:rPr>
          <w:rFonts w:ascii="Arial" w:hAnsi="Arial" w:cs="Arial"/>
          <w:sz w:val="20"/>
          <w:szCs w:val="20"/>
        </w:rPr>
        <w:t xml:space="preserve"> </w:t>
      </w:r>
      <w:r>
        <w:rPr>
          <w:rFonts w:ascii="Arial" w:hAnsi="Arial" w:cs="Arial"/>
          <w:sz w:val="20"/>
          <w:szCs w:val="20"/>
        </w:rPr>
        <w:t xml:space="preserve">intensified their reform efforts to </w:t>
      </w:r>
      <w:r>
        <w:rPr>
          <w:rFonts w:ascii="Arial" w:hAnsi="Arial" w:cs="Arial"/>
          <w:color w:val="000000"/>
          <w:sz w:val="20"/>
          <w:szCs w:val="20"/>
        </w:rPr>
        <w:t xml:space="preserve">create more opportunities for local businesses, </w:t>
      </w:r>
      <w:r w:rsidRPr="00E47002">
        <w:rPr>
          <w:rFonts w:ascii="Arial" w:hAnsi="Arial" w:cs="Arial"/>
          <w:sz w:val="20"/>
          <w:szCs w:val="20"/>
        </w:rPr>
        <w:t xml:space="preserve">finds </w:t>
      </w:r>
      <w:r w:rsidRPr="004A0107">
        <w:rPr>
          <w:rFonts w:ascii="Arial" w:hAnsi="Arial" w:cs="Arial"/>
          <w:i/>
          <w:color w:val="000000"/>
          <w:sz w:val="20"/>
          <w:szCs w:val="20"/>
        </w:rPr>
        <w:t>Doing Business 2010: Reforming through Difficult Times</w:t>
      </w:r>
      <w:r w:rsidR="00486312">
        <w:rPr>
          <w:rFonts w:ascii="Arial" w:hAnsi="Arial" w:cs="Arial"/>
          <w:color w:val="000000"/>
          <w:sz w:val="20"/>
          <w:szCs w:val="20"/>
        </w:rPr>
        <w:t>.</w:t>
      </w:r>
    </w:p>
    <w:p w:rsidR="007A0E58" w:rsidRDefault="007A0E58" w:rsidP="00C82150">
      <w:pPr>
        <w:autoSpaceDE w:val="0"/>
        <w:autoSpaceDN w:val="0"/>
        <w:adjustRightInd w:val="0"/>
        <w:jc w:val="both"/>
        <w:rPr>
          <w:rFonts w:ascii="Arial" w:hAnsi="Arial" w:cs="Arial"/>
          <w:color w:val="000000"/>
          <w:sz w:val="20"/>
          <w:szCs w:val="20"/>
        </w:rPr>
      </w:pPr>
    </w:p>
    <w:p w:rsidR="00F22D35" w:rsidRPr="006F369C" w:rsidRDefault="007A0E58" w:rsidP="00C82150">
      <w:pPr>
        <w:autoSpaceDE w:val="0"/>
        <w:autoSpaceDN w:val="0"/>
        <w:adjustRightInd w:val="0"/>
        <w:jc w:val="both"/>
        <w:rPr>
          <w:rFonts w:ascii="Arial" w:hAnsi="Arial" w:cs="Arial"/>
          <w:b/>
          <w:color w:val="FF0000"/>
          <w:sz w:val="20"/>
          <w:szCs w:val="20"/>
        </w:rPr>
      </w:pPr>
      <w:r>
        <w:rPr>
          <w:rFonts w:ascii="Arial" w:hAnsi="Arial" w:cs="Arial"/>
          <w:color w:val="000000"/>
          <w:sz w:val="20"/>
          <w:szCs w:val="20"/>
        </w:rPr>
        <w:t>T</w:t>
      </w:r>
      <w:r w:rsidR="00F22D35" w:rsidRPr="004A0107">
        <w:rPr>
          <w:rFonts w:ascii="Arial" w:hAnsi="Arial" w:cs="Arial"/>
          <w:color w:val="000000"/>
          <w:sz w:val="20"/>
          <w:szCs w:val="20"/>
        </w:rPr>
        <w:t>he seventh in a series of annual reports</w:t>
      </w:r>
      <w:r w:rsidR="00486312">
        <w:rPr>
          <w:rFonts w:ascii="Arial" w:hAnsi="Arial" w:cs="Arial"/>
          <w:color w:val="000000"/>
          <w:sz w:val="20"/>
          <w:szCs w:val="20"/>
        </w:rPr>
        <w:t xml:space="preserve"> published</w:t>
      </w:r>
      <w:r w:rsidR="00F22D35" w:rsidRPr="004A0107">
        <w:rPr>
          <w:rFonts w:ascii="Arial" w:hAnsi="Arial" w:cs="Arial"/>
          <w:color w:val="000000"/>
          <w:sz w:val="20"/>
          <w:szCs w:val="20"/>
        </w:rPr>
        <w:t xml:space="preserve"> by IFC and the World Bank</w:t>
      </w:r>
      <w:r>
        <w:rPr>
          <w:rFonts w:ascii="Arial" w:hAnsi="Arial" w:cs="Arial"/>
          <w:color w:val="000000"/>
          <w:sz w:val="20"/>
          <w:szCs w:val="20"/>
        </w:rPr>
        <w:t>,</w:t>
      </w:r>
      <w:r>
        <w:rPr>
          <w:rFonts w:ascii="Arial" w:hAnsi="Arial" w:cs="Arial"/>
          <w:iCs/>
          <w:sz w:val="20"/>
          <w:szCs w:val="20"/>
        </w:rPr>
        <w:t xml:space="preserve"> the</w:t>
      </w:r>
      <w:r w:rsidR="00F22D35">
        <w:rPr>
          <w:rFonts w:ascii="Arial" w:hAnsi="Arial" w:cs="Arial"/>
          <w:iCs/>
          <w:sz w:val="20"/>
          <w:szCs w:val="20"/>
        </w:rPr>
        <w:t xml:space="preserve"> report found that </w:t>
      </w:r>
      <w:r w:rsidR="00F22D35">
        <w:rPr>
          <w:rFonts w:ascii="Arial" w:hAnsi="Arial" w:cs="Arial"/>
          <w:color w:val="000000"/>
          <w:sz w:val="20"/>
          <w:szCs w:val="20"/>
        </w:rPr>
        <w:t xml:space="preserve">131 of 183 economies around the globe reformed business regulation between June 2008 and May 2009. </w:t>
      </w:r>
    </w:p>
    <w:p w:rsidR="00F22D35" w:rsidRDefault="00F22D35" w:rsidP="009A5DF2">
      <w:pPr>
        <w:pStyle w:val="Default"/>
        <w:jc w:val="both"/>
        <w:rPr>
          <w:rFonts w:ascii="Arial" w:hAnsi="Arial" w:cs="Arial"/>
          <w:sz w:val="20"/>
          <w:szCs w:val="20"/>
        </w:rPr>
      </w:pPr>
    </w:p>
    <w:p w:rsidR="00F22D35" w:rsidRDefault="00F22D35" w:rsidP="009A5DF2">
      <w:pPr>
        <w:pStyle w:val="Default"/>
        <w:jc w:val="both"/>
        <w:rPr>
          <w:rFonts w:ascii="Arial" w:hAnsi="Arial" w:cs="Arial"/>
          <w:sz w:val="20"/>
          <w:szCs w:val="20"/>
        </w:rPr>
      </w:pPr>
      <w:r w:rsidRPr="00E027D7">
        <w:rPr>
          <w:rFonts w:ascii="Arial" w:hAnsi="Arial" w:cs="Arial"/>
          <w:sz w:val="20"/>
          <w:szCs w:val="20"/>
        </w:rPr>
        <w:t>The Dominican Republic</w:t>
      </w:r>
      <w:r>
        <w:rPr>
          <w:rFonts w:ascii="Arial" w:hAnsi="Arial" w:cs="Arial"/>
          <w:sz w:val="20"/>
          <w:szCs w:val="20"/>
        </w:rPr>
        <w:t xml:space="preserve">, a consistent reformer, strengthened </w:t>
      </w:r>
      <w:r w:rsidRPr="00E027D7">
        <w:rPr>
          <w:rFonts w:ascii="Arial" w:hAnsi="Arial" w:cs="Arial"/>
          <w:sz w:val="20"/>
          <w:szCs w:val="20"/>
        </w:rPr>
        <w:t>investor protections</w:t>
      </w:r>
      <w:r>
        <w:rPr>
          <w:rFonts w:ascii="Arial" w:hAnsi="Arial" w:cs="Arial"/>
          <w:sz w:val="20"/>
          <w:szCs w:val="20"/>
        </w:rPr>
        <w:t xml:space="preserve"> with a</w:t>
      </w:r>
      <w:r w:rsidRPr="00702D28">
        <w:rPr>
          <w:rFonts w:ascii="Arial" w:hAnsi="Arial" w:cs="Arial"/>
          <w:sz w:val="20"/>
          <w:szCs w:val="20"/>
        </w:rPr>
        <w:t xml:space="preserve"> new company law</w:t>
      </w:r>
      <w:r>
        <w:rPr>
          <w:rFonts w:ascii="Arial" w:hAnsi="Arial" w:cs="Arial"/>
          <w:sz w:val="20"/>
          <w:szCs w:val="20"/>
        </w:rPr>
        <w:t xml:space="preserve">—making it the runner-up </w:t>
      </w:r>
      <w:r w:rsidRPr="00702D28">
        <w:rPr>
          <w:rFonts w:ascii="Arial" w:hAnsi="Arial" w:cs="Arial"/>
          <w:sz w:val="20"/>
          <w:szCs w:val="20"/>
        </w:rPr>
        <w:t>global reformer in protecting investors</w:t>
      </w:r>
      <w:r>
        <w:rPr>
          <w:rFonts w:ascii="Arial" w:hAnsi="Arial" w:cs="Arial"/>
          <w:sz w:val="20"/>
          <w:szCs w:val="20"/>
        </w:rPr>
        <w:t xml:space="preserve"> and improving its global ranking on overall ease of doing business from 102 to 86 among 183 economies. </w:t>
      </w:r>
    </w:p>
    <w:p w:rsidR="00F22D35" w:rsidRDefault="00F22D35" w:rsidP="009A5DF2">
      <w:pPr>
        <w:pStyle w:val="Default"/>
        <w:jc w:val="both"/>
        <w:rPr>
          <w:rFonts w:ascii="Arial" w:hAnsi="Arial" w:cs="Arial"/>
          <w:sz w:val="20"/>
          <w:szCs w:val="20"/>
        </w:rPr>
      </w:pPr>
    </w:p>
    <w:p w:rsidR="00F22D35" w:rsidRPr="00E027D7" w:rsidRDefault="00F22D35" w:rsidP="009A5DF2">
      <w:pPr>
        <w:pStyle w:val="Default"/>
        <w:jc w:val="both"/>
        <w:rPr>
          <w:rFonts w:ascii="Arial" w:hAnsi="Arial" w:cs="Arial"/>
          <w:color w:val="auto"/>
          <w:sz w:val="20"/>
          <w:szCs w:val="20"/>
        </w:rPr>
      </w:pPr>
      <w:r w:rsidRPr="00E027D7">
        <w:rPr>
          <w:rFonts w:ascii="Arial" w:hAnsi="Arial" w:cs="Arial"/>
          <w:sz w:val="20"/>
          <w:szCs w:val="20"/>
        </w:rPr>
        <w:t xml:space="preserve">The report </w:t>
      </w:r>
      <w:r w:rsidR="00486312" w:rsidRPr="00E027D7">
        <w:rPr>
          <w:rFonts w:ascii="Arial" w:hAnsi="Arial" w:cs="Arial"/>
          <w:sz w:val="20"/>
          <w:szCs w:val="20"/>
        </w:rPr>
        <w:t>f</w:t>
      </w:r>
      <w:r w:rsidR="00486312">
        <w:rPr>
          <w:rFonts w:ascii="Arial" w:hAnsi="Arial" w:cs="Arial"/>
          <w:sz w:val="20"/>
          <w:szCs w:val="20"/>
        </w:rPr>
        <w:t>inds</w:t>
      </w:r>
      <w:r w:rsidR="00486312" w:rsidRPr="00E027D7">
        <w:rPr>
          <w:rFonts w:ascii="Arial" w:hAnsi="Arial" w:cs="Arial"/>
          <w:sz w:val="20"/>
          <w:szCs w:val="20"/>
        </w:rPr>
        <w:t xml:space="preserve"> </w:t>
      </w:r>
      <w:r w:rsidRPr="00E027D7">
        <w:rPr>
          <w:rFonts w:ascii="Arial" w:hAnsi="Arial" w:cs="Arial"/>
          <w:sz w:val="20"/>
          <w:szCs w:val="20"/>
        </w:rPr>
        <w:t xml:space="preserve">that economies tend to be inspired by </w:t>
      </w:r>
      <w:r>
        <w:rPr>
          <w:rFonts w:ascii="Arial" w:hAnsi="Arial" w:cs="Arial"/>
          <w:sz w:val="20"/>
          <w:szCs w:val="20"/>
        </w:rPr>
        <w:t xml:space="preserve">the </w:t>
      </w:r>
      <w:r w:rsidRPr="00E027D7">
        <w:rPr>
          <w:rFonts w:ascii="Arial" w:hAnsi="Arial" w:cs="Arial"/>
          <w:sz w:val="20"/>
          <w:szCs w:val="20"/>
        </w:rPr>
        <w:t>reform activity of neighbors.</w:t>
      </w:r>
      <w:r>
        <w:rPr>
          <w:rFonts w:ascii="Arial" w:hAnsi="Arial" w:cs="Arial"/>
          <w:sz w:val="20"/>
          <w:szCs w:val="20"/>
        </w:rPr>
        <w:t xml:space="preserve"> </w:t>
      </w:r>
      <w:r w:rsidRPr="00E027D7">
        <w:rPr>
          <w:rFonts w:ascii="Arial" w:hAnsi="Arial" w:cs="Arial"/>
          <w:color w:val="auto"/>
          <w:sz w:val="20"/>
          <w:szCs w:val="20"/>
        </w:rPr>
        <w:t>Three Caribbean island states</w:t>
      </w:r>
      <w:r>
        <w:rPr>
          <w:rFonts w:ascii="Arial" w:hAnsi="Arial" w:cs="Arial"/>
          <w:color w:val="auto"/>
          <w:sz w:val="20"/>
          <w:szCs w:val="20"/>
        </w:rPr>
        <w:t>—</w:t>
      </w:r>
      <w:r w:rsidRPr="00E027D7">
        <w:rPr>
          <w:rFonts w:ascii="Arial" w:hAnsi="Arial" w:cs="Arial"/>
          <w:color w:val="auto"/>
          <w:sz w:val="20"/>
          <w:szCs w:val="20"/>
        </w:rPr>
        <w:t>Grenada, St. Kitts and Nevis</w:t>
      </w:r>
      <w:r>
        <w:rPr>
          <w:rFonts w:ascii="Arial" w:hAnsi="Arial" w:cs="Arial"/>
          <w:color w:val="auto"/>
          <w:sz w:val="20"/>
          <w:szCs w:val="20"/>
        </w:rPr>
        <w:t>,</w:t>
      </w:r>
      <w:r w:rsidRPr="00E027D7">
        <w:rPr>
          <w:rFonts w:ascii="Arial" w:hAnsi="Arial" w:cs="Arial"/>
          <w:color w:val="auto"/>
          <w:sz w:val="20"/>
          <w:szCs w:val="20"/>
        </w:rPr>
        <w:t xml:space="preserve"> and St. Lucia</w:t>
      </w:r>
      <w:r>
        <w:rPr>
          <w:rFonts w:ascii="Arial" w:hAnsi="Arial" w:cs="Arial"/>
          <w:color w:val="auto"/>
          <w:sz w:val="20"/>
          <w:szCs w:val="20"/>
        </w:rPr>
        <w:t>—</w:t>
      </w:r>
      <w:r w:rsidRPr="00E027D7">
        <w:rPr>
          <w:rFonts w:ascii="Arial" w:hAnsi="Arial" w:cs="Arial"/>
          <w:color w:val="auto"/>
          <w:sz w:val="20"/>
          <w:szCs w:val="20"/>
        </w:rPr>
        <w:t>reformed for the first time. Grenada ease</w:t>
      </w:r>
      <w:r>
        <w:rPr>
          <w:rFonts w:ascii="Arial" w:hAnsi="Arial" w:cs="Arial"/>
          <w:color w:val="auto"/>
          <w:sz w:val="20"/>
          <w:szCs w:val="20"/>
        </w:rPr>
        <w:t>d</w:t>
      </w:r>
      <w:r w:rsidRPr="00E027D7">
        <w:rPr>
          <w:rFonts w:ascii="Arial" w:hAnsi="Arial" w:cs="Arial"/>
          <w:color w:val="auto"/>
          <w:sz w:val="20"/>
          <w:szCs w:val="20"/>
        </w:rPr>
        <w:t xml:space="preserve"> contract enforcement and </w:t>
      </w:r>
      <w:r>
        <w:rPr>
          <w:rFonts w:ascii="Arial" w:hAnsi="Arial" w:cs="Arial"/>
          <w:color w:val="auto"/>
          <w:sz w:val="20"/>
          <w:szCs w:val="20"/>
        </w:rPr>
        <w:t>improved customs administration</w:t>
      </w:r>
      <w:r w:rsidR="007A0E58">
        <w:rPr>
          <w:rFonts w:ascii="Arial" w:hAnsi="Arial" w:cs="Arial"/>
          <w:color w:val="auto"/>
          <w:sz w:val="20"/>
          <w:szCs w:val="20"/>
        </w:rPr>
        <w:t>.</w:t>
      </w:r>
      <w:r w:rsidRPr="00E027D7">
        <w:rPr>
          <w:rFonts w:ascii="Arial" w:hAnsi="Arial" w:cs="Arial"/>
          <w:color w:val="auto"/>
          <w:sz w:val="20"/>
          <w:szCs w:val="20"/>
        </w:rPr>
        <w:t xml:space="preserve"> St. Kitts and Nevis </w:t>
      </w:r>
      <w:r>
        <w:rPr>
          <w:rFonts w:ascii="Arial" w:hAnsi="Arial" w:cs="Arial"/>
          <w:color w:val="auto"/>
          <w:sz w:val="20"/>
          <w:szCs w:val="20"/>
        </w:rPr>
        <w:t xml:space="preserve">implemented an electronic data interchange system that expedited </w:t>
      </w:r>
      <w:r w:rsidRPr="00E027D7">
        <w:rPr>
          <w:rFonts w:ascii="Arial" w:hAnsi="Arial" w:cs="Arial"/>
          <w:color w:val="auto"/>
          <w:sz w:val="20"/>
          <w:szCs w:val="20"/>
        </w:rPr>
        <w:t>cross</w:t>
      </w:r>
      <w:r w:rsidR="00172678">
        <w:rPr>
          <w:rFonts w:ascii="Arial" w:hAnsi="Arial" w:cs="Arial"/>
          <w:color w:val="auto"/>
          <w:sz w:val="20"/>
          <w:szCs w:val="20"/>
        </w:rPr>
        <w:t>-</w:t>
      </w:r>
      <w:r w:rsidRPr="00E027D7">
        <w:rPr>
          <w:rFonts w:ascii="Arial" w:hAnsi="Arial" w:cs="Arial"/>
          <w:color w:val="auto"/>
          <w:sz w:val="20"/>
          <w:szCs w:val="20"/>
        </w:rPr>
        <w:t>border</w:t>
      </w:r>
      <w:r w:rsidR="007A0E58">
        <w:rPr>
          <w:rFonts w:ascii="Arial" w:hAnsi="Arial" w:cs="Arial"/>
          <w:color w:val="auto"/>
          <w:sz w:val="20"/>
          <w:szCs w:val="20"/>
        </w:rPr>
        <w:t xml:space="preserve"> trade</w:t>
      </w:r>
      <w:r w:rsidRPr="00E027D7">
        <w:rPr>
          <w:rFonts w:ascii="Arial" w:hAnsi="Arial" w:cs="Arial"/>
          <w:color w:val="auto"/>
          <w:sz w:val="20"/>
          <w:szCs w:val="20"/>
        </w:rPr>
        <w:t xml:space="preserve">. </w:t>
      </w:r>
      <w:r>
        <w:rPr>
          <w:rFonts w:ascii="Arial" w:hAnsi="Arial" w:cs="Arial"/>
          <w:color w:val="auto"/>
          <w:sz w:val="20"/>
          <w:szCs w:val="20"/>
        </w:rPr>
        <w:t xml:space="preserve">And </w:t>
      </w:r>
      <w:r w:rsidRPr="00E027D7">
        <w:rPr>
          <w:rFonts w:ascii="Arial" w:hAnsi="Arial" w:cs="Arial"/>
          <w:color w:val="auto"/>
          <w:sz w:val="20"/>
          <w:szCs w:val="20"/>
        </w:rPr>
        <w:t>St. Lucia eas</w:t>
      </w:r>
      <w:r w:rsidR="00172678">
        <w:rPr>
          <w:rFonts w:ascii="Arial" w:hAnsi="Arial" w:cs="Arial"/>
          <w:color w:val="auto"/>
          <w:sz w:val="20"/>
          <w:szCs w:val="20"/>
        </w:rPr>
        <w:t>ed</w:t>
      </w:r>
      <w:r w:rsidRPr="00E027D7">
        <w:rPr>
          <w:rFonts w:ascii="Arial" w:hAnsi="Arial" w:cs="Arial"/>
          <w:color w:val="auto"/>
          <w:sz w:val="20"/>
          <w:szCs w:val="20"/>
        </w:rPr>
        <w:t xml:space="preserve"> business</w:t>
      </w:r>
      <w:r w:rsidR="00172678">
        <w:rPr>
          <w:rFonts w:ascii="Arial" w:hAnsi="Arial" w:cs="Arial"/>
          <w:color w:val="auto"/>
          <w:sz w:val="20"/>
          <w:szCs w:val="20"/>
        </w:rPr>
        <w:t xml:space="preserve"> start-up</w:t>
      </w:r>
      <w:r w:rsidRPr="00E027D7">
        <w:rPr>
          <w:rFonts w:ascii="Arial" w:hAnsi="Arial" w:cs="Arial"/>
          <w:color w:val="auto"/>
          <w:sz w:val="20"/>
          <w:szCs w:val="20"/>
        </w:rPr>
        <w:t xml:space="preserve"> by </w:t>
      </w:r>
      <w:r>
        <w:rPr>
          <w:rFonts w:ascii="Arial" w:hAnsi="Arial" w:cs="Arial"/>
          <w:color w:val="auto"/>
          <w:sz w:val="20"/>
          <w:szCs w:val="20"/>
        </w:rPr>
        <w:t xml:space="preserve">introducing </w:t>
      </w:r>
      <w:r w:rsidRPr="00E027D7">
        <w:rPr>
          <w:rFonts w:ascii="Arial" w:hAnsi="Arial" w:cs="Arial"/>
          <w:color w:val="auto"/>
          <w:sz w:val="20"/>
          <w:szCs w:val="20"/>
        </w:rPr>
        <w:t xml:space="preserve">an electronic company registration system. </w:t>
      </w:r>
    </w:p>
    <w:p w:rsidR="00F22D35" w:rsidRDefault="00F22D35" w:rsidP="009A5DF2">
      <w:pPr>
        <w:rPr>
          <w:rFonts w:ascii="Arial" w:hAnsi="Arial" w:cs="Arial"/>
          <w:sz w:val="20"/>
          <w:szCs w:val="20"/>
        </w:rPr>
      </w:pPr>
    </w:p>
    <w:p w:rsidR="00F22D35" w:rsidRDefault="00F22D35" w:rsidP="009A5DF2">
      <w:pPr>
        <w:rPr>
          <w:rFonts w:ascii="Arial" w:hAnsi="Arial" w:cs="Arial"/>
          <w:sz w:val="20"/>
          <w:szCs w:val="20"/>
        </w:rPr>
      </w:pPr>
      <w:r>
        <w:rPr>
          <w:rFonts w:ascii="Arial" w:hAnsi="Arial" w:cs="Arial"/>
          <w:sz w:val="20"/>
          <w:szCs w:val="20"/>
        </w:rPr>
        <w:t>“</w:t>
      </w:r>
      <w:r w:rsidRPr="00702D28">
        <w:rPr>
          <w:rFonts w:ascii="Arial" w:hAnsi="Arial" w:cs="Arial"/>
          <w:sz w:val="20"/>
          <w:szCs w:val="20"/>
        </w:rPr>
        <w:t xml:space="preserve">Caribbean </w:t>
      </w:r>
      <w:r>
        <w:rPr>
          <w:rFonts w:ascii="Arial" w:hAnsi="Arial" w:cs="Arial"/>
          <w:sz w:val="20"/>
          <w:szCs w:val="20"/>
        </w:rPr>
        <w:t xml:space="preserve">economies </w:t>
      </w:r>
      <w:r w:rsidRPr="00702D28">
        <w:rPr>
          <w:rFonts w:ascii="Arial" w:hAnsi="Arial" w:cs="Arial"/>
          <w:sz w:val="20"/>
          <w:szCs w:val="20"/>
        </w:rPr>
        <w:t>have intensified efforts</w:t>
      </w:r>
      <w:r>
        <w:rPr>
          <w:rFonts w:ascii="Arial" w:hAnsi="Arial" w:cs="Arial"/>
          <w:sz w:val="20"/>
          <w:szCs w:val="20"/>
        </w:rPr>
        <w:t xml:space="preserve"> to improve the business environment this year,”</w:t>
      </w:r>
      <w:r w:rsidRPr="00702D28">
        <w:rPr>
          <w:rFonts w:ascii="Arial" w:hAnsi="Arial" w:cs="Arial"/>
          <w:sz w:val="20"/>
          <w:szCs w:val="20"/>
        </w:rPr>
        <w:t xml:space="preserve"> said Sylvia Solf, lead author of the report</w:t>
      </w:r>
      <w:r>
        <w:rPr>
          <w:rFonts w:ascii="Arial" w:hAnsi="Arial" w:cs="Arial"/>
          <w:sz w:val="20"/>
          <w:szCs w:val="20"/>
        </w:rPr>
        <w:t>.</w:t>
      </w:r>
      <w:r w:rsidRPr="00702D28">
        <w:rPr>
          <w:rFonts w:ascii="Arial" w:hAnsi="Arial" w:cs="Arial"/>
          <w:sz w:val="20"/>
          <w:szCs w:val="20"/>
        </w:rPr>
        <w:t xml:space="preserve"> </w:t>
      </w:r>
      <w:r>
        <w:rPr>
          <w:rFonts w:ascii="Arial" w:hAnsi="Arial" w:cs="Arial"/>
          <w:sz w:val="20"/>
          <w:szCs w:val="20"/>
        </w:rPr>
        <w:t xml:space="preserve">“Around the world, more </w:t>
      </w:r>
      <w:r w:rsidR="00486312">
        <w:rPr>
          <w:rFonts w:ascii="Arial" w:hAnsi="Arial" w:cs="Arial"/>
          <w:sz w:val="20"/>
          <w:szCs w:val="20"/>
        </w:rPr>
        <w:t>small-</w:t>
      </w:r>
      <w:r>
        <w:rPr>
          <w:rFonts w:ascii="Arial" w:hAnsi="Arial" w:cs="Arial"/>
          <w:sz w:val="20"/>
          <w:szCs w:val="20"/>
        </w:rPr>
        <w:t xml:space="preserve">island states are paying attention to the </w:t>
      </w:r>
      <w:r w:rsidRPr="000A4427">
        <w:rPr>
          <w:rFonts w:ascii="Arial" w:hAnsi="Arial" w:cs="Arial"/>
          <w:sz w:val="20"/>
          <w:szCs w:val="20"/>
        </w:rPr>
        <w:t>quality of business regulation</w:t>
      </w:r>
      <w:r>
        <w:rPr>
          <w:rFonts w:ascii="Arial" w:hAnsi="Arial" w:cs="Arial"/>
          <w:sz w:val="20"/>
          <w:szCs w:val="20"/>
        </w:rPr>
        <w:t xml:space="preserve"> to make their economies more competitive. Making it easy to start and run a business is always important, but especially during these difficult times.”</w:t>
      </w:r>
    </w:p>
    <w:p w:rsidR="00F22D35" w:rsidRPr="00702D28" w:rsidRDefault="00F22D35" w:rsidP="009A5DF2">
      <w:pPr>
        <w:rPr>
          <w:rFonts w:ascii="Arial" w:hAnsi="Arial" w:cs="Arial"/>
          <w:sz w:val="20"/>
          <w:szCs w:val="20"/>
        </w:rPr>
      </w:pPr>
    </w:p>
    <w:p w:rsidR="00F22D35" w:rsidRPr="00702D28" w:rsidRDefault="00F22D35" w:rsidP="009A5DF2">
      <w:pPr>
        <w:rPr>
          <w:rFonts w:ascii="Arial" w:hAnsi="Arial" w:cs="Arial"/>
          <w:sz w:val="20"/>
          <w:szCs w:val="20"/>
        </w:rPr>
      </w:pPr>
      <w:r w:rsidRPr="00E027D7">
        <w:rPr>
          <w:rFonts w:ascii="Arial" w:hAnsi="Arial" w:cs="Arial"/>
          <w:sz w:val="20"/>
          <w:szCs w:val="20"/>
        </w:rPr>
        <w:t xml:space="preserve">St. Vincent and the Grenadines </w:t>
      </w:r>
      <w:r>
        <w:rPr>
          <w:rFonts w:ascii="Arial" w:hAnsi="Arial" w:cs="Arial"/>
          <w:sz w:val="20"/>
          <w:szCs w:val="20"/>
        </w:rPr>
        <w:t>made it</w:t>
      </w:r>
      <w:r w:rsidRPr="00E027D7">
        <w:rPr>
          <w:rFonts w:ascii="Arial" w:hAnsi="Arial" w:cs="Arial"/>
          <w:sz w:val="20"/>
          <w:szCs w:val="20"/>
        </w:rPr>
        <w:t xml:space="preserve"> easier to start a business</w:t>
      </w:r>
      <w:r>
        <w:rPr>
          <w:rFonts w:ascii="Arial" w:hAnsi="Arial" w:cs="Arial"/>
          <w:sz w:val="20"/>
          <w:szCs w:val="20"/>
        </w:rPr>
        <w:t>,</w:t>
      </w:r>
      <w:r w:rsidRPr="00E027D7">
        <w:rPr>
          <w:rFonts w:ascii="Arial" w:hAnsi="Arial" w:cs="Arial"/>
          <w:sz w:val="20"/>
          <w:szCs w:val="20"/>
        </w:rPr>
        <w:t xml:space="preserve"> while Jamaica </w:t>
      </w:r>
      <w:r>
        <w:rPr>
          <w:rFonts w:ascii="Arial" w:hAnsi="Arial" w:cs="Arial"/>
          <w:sz w:val="20"/>
          <w:szCs w:val="20"/>
        </w:rPr>
        <w:t xml:space="preserve">cut </w:t>
      </w:r>
      <w:r w:rsidRPr="00E027D7">
        <w:rPr>
          <w:rFonts w:ascii="Arial" w:hAnsi="Arial" w:cs="Arial"/>
          <w:sz w:val="20"/>
          <w:szCs w:val="20"/>
        </w:rPr>
        <w:t>the property transfer tax from 6.5</w:t>
      </w:r>
      <w:r>
        <w:rPr>
          <w:rFonts w:ascii="Arial" w:hAnsi="Arial" w:cs="Arial"/>
          <w:sz w:val="20"/>
          <w:szCs w:val="20"/>
        </w:rPr>
        <w:t xml:space="preserve"> percent</w:t>
      </w:r>
      <w:r w:rsidRPr="00E027D7">
        <w:rPr>
          <w:rFonts w:ascii="Arial" w:hAnsi="Arial" w:cs="Arial"/>
          <w:sz w:val="20"/>
          <w:szCs w:val="20"/>
        </w:rPr>
        <w:t xml:space="preserve"> </w:t>
      </w:r>
      <w:r>
        <w:rPr>
          <w:rFonts w:ascii="Arial" w:hAnsi="Arial" w:cs="Arial"/>
          <w:sz w:val="20"/>
          <w:szCs w:val="20"/>
        </w:rPr>
        <w:t>of property value to 5 percent</w:t>
      </w:r>
      <w:r w:rsidRPr="00E027D7">
        <w:rPr>
          <w:rFonts w:ascii="Arial" w:hAnsi="Arial" w:cs="Arial"/>
          <w:sz w:val="20"/>
          <w:szCs w:val="20"/>
        </w:rPr>
        <w:t>.</w:t>
      </w:r>
      <w:r w:rsidRPr="001E22CF">
        <w:rPr>
          <w:rFonts w:ascii="Arial" w:hAnsi="Arial" w:cs="Arial"/>
          <w:sz w:val="20"/>
          <w:szCs w:val="20"/>
        </w:rPr>
        <w:t xml:space="preserve"> Haiti </w:t>
      </w:r>
      <w:r>
        <w:rPr>
          <w:rFonts w:ascii="Arial" w:hAnsi="Arial" w:cs="Arial"/>
          <w:sz w:val="20"/>
          <w:szCs w:val="20"/>
        </w:rPr>
        <w:t xml:space="preserve">expanded </w:t>
      </w:r>
      <w:r w:rsidRPr="001E22CF">
        <w:rPr>
          <w:rFonts w:ascii="Arial" w:hAnsi="Arial" w:cs="Arial"/>
          <w:sz w:val="20"/>
          <w:szCs w:val="20"/>
        </w:rPr>
        <w:t xml:space="preserve">access to credit </w:t>
      </w:r>
      <w:r>
        <w:rPr>
          <w:rFonts w:ascii="Arial" w:hAnsi="Arial" w:cs="Arial"/>
          <w:sz w:val="20"/>
          <w:szCs w:val="20"/>
        </w:rPr>
        <w:t xml:space="preserve">by broadening the types of assets that can be used as collateral </w:t>
      </w:r>
      <w:r w:rsidRPr="001E22CF">
        <w:rPr>
          <w:rFonts w:ascii="Arial" w:hAnsi="Arial" w:cs="Arial"/>
          <w:sz w:val="20"/>
          <w:szCs w:val="20"/>
        </w:rPr>
        <w:t>and sped</w:t>
      </w:r>
      <w:r>
        <w:rPr>
          <w:rFonts w:ascii="Arial" w:hAnsi="Arial" w:cs="Arial"/>
          <w:sz w:val="20"/>
          <w:szCs w:val="20"/>
        </w:rPr>
        <w:t xml:space="preserve"> </w:t>
      </w:r>
      <w:r w:rsidRPr="001E22CF">
        <w:rPr>
          <w:rFonts w:ascii="Arial" w:hAnsi="Arial" w:cs="Arial"/>
          <w:sz w:val="20"/>
          <w:szCs w:val="20"/>
        </w:rPr>
        <w:t>up trad</w:t>
      </w:r>
      <w:r>
        <w:rPr>
          <w:rFonts w:ascii="Arial" w:hAnsi="Arial" w:cs="Arial"/>
          <w:sz w:val="20"/>
          <w:szCs w:val="20"/>
        </w:rPr>
        <w:t>e</w:t>
      </w:r>
      <w:r w:rsidRPr="001E22CF">
        <w:rPr>
          <w:rFonts w:ascii="Arial" w:hAnsi="Arial" w:cs="Arial"/>
          <w:sz w:val="20"/>
          <w:szCs w:val="20"/>
        </w:rPr>
        <w:t xml:space="preserve"> </w:t>
      </w:r>
      <w:r>
        <w:rPr>
          <w:rFonts w:ascii="Arial" w:hAnsi="Arial" w:cs="Arial"/>
          <w:sz w:val="20"/>
          <w:szCs w:val="20"/>
        </w:rPr>
        <w:t xml:space="preserve">by </w:t>
      </w:r>
      <w:r w:rsidRPr="001E22CF">
        <w:rPr>
          <w:rFonts w:ascii="Arial" w:hAnsi="Arial" w:cs="Arial"/>
          <w:sz w:val="20"/>
          <w:szCs w:val="20"/>
        </w:rPr>
        <w:t>implement</w:t>
      </w:r>
      <w:r>
        <w:rPr>
          <w:rFonts w:ascii="Arial" w:hAnsi="Arial" w:cs="Arial"/>
          <w:sz w:val="20"/>
          <w:szCs w:val="20"/>
        </w:rPr>
        <w:t>ing an online document handling</w:t>
      </w:r>
      <w:r w:rsidRPr="001E22CF">
        <w:rPr>
          <w:rFonts w:ascii="Arial" w:hAnsi="Arial" w:cs="Arial"/>
          <w:sz w:val="20"/>
          <w:szCs w:val="20"/>
        </w:rPr>
        <w:t xml:space="preserve"> system and 24-hour</w:t>
      </w:r>
      <w:r w:rsidR="007A0E58">
        <w:rPr>
          <w:rFonts w:ascii="Arial" w:hAnsi="Arial" w:cs="Arial"/>
          <w:sz w:val="20"/>
          <w:szCs w:val="20"/>
        </w:rPr>
        <w:t xml:space="preserve"> port</w:t>
      </w:r>
      <w:r w:rsidRPr="001E22CF">
        <w:rPr>
          <w:rFonts w:ascii="Arial" w:hAnsi="Arial" w:cs="Arial"/>
          <w:sz w:val="20"/>
          <w:szCs w:val="20"/>
        </w:rPr>
        <w:t xml:space="preserve"> operation</w:t>
      </w:r>
      <w:r>
        <w:rPr>
          <w:rFonts w:ascii="Arial" w:hAnsi="Arial" w:cs="Arial"/>
          <w:sz w:val="20"/>
          <w:szCs w:val="20"/>
        </w:rPr>
        <w:t>s</w:t>
      </w:r>
      <w:r w:rsidR="007A0E58">
        <w:rPr>
          <w:rFonts w:ascii="Arial" w:hAnsi="Arial" w:cs="Arial"/>
          <w:sz w:val="20"/>
          <w:szCs w:val="20"/>
        </w:rPr>
        <w:t>.</w:t>
      </w:r>
    </w:p>
    <w:p w:rsidR="00F22D35" w:rsidRPr="00702D28" w:rsidRDefault="00F22D35" w:rsidP="009A5DF2">
      <w:pPr>
        <w:rPr>
          <w:rFonts w:ascii="Arial" w:hAnsi="Arial" w:cs="Arial"/>
          <w:sz w:val="20"/>
          <w:szCs w:val="20"/>
        </w:rPr>
      </w:pPr>
    </w:p>
    <w:p w:rsidR="00F22D35" w:rsidRPr="005450B6" w:rsidRDefault="00323401" w:rsidP="009A5DF2">
      <w:pPr>
        <w:jc w:val="both"/>
        <w:rPr>
          <w:rFonts w:ascii="Arial" w:hAnsi="Arial" w:cs="Arial"/>
          <w:sz w:val="20"/>
          <w:szCs w:val="20"/>
        </w:rPr>
      </w:pPr>
      <w:r>
        <w:rPr>
          <w:rFonts w:ascii="Arial" w:hAnsi="Arial" w:cs="Arial"/>
          <w:color w:val="000000"/>
          <w:sz w:val="20"/>
          <w:szCs w:val="20"/>
        </w:rPr>
        <w:t>This year Rwanda was the top global reformer. There were 4 new reformers among the global top 10:  Liberia, the United Arab Emirates, Tajikistan and Moldova. Others, aside from Rwanda, include Egypt, Belarus, the Former Yugoslav Republic of Macedonia, the Kyrgyz Republic, and Colombia</w:t>
      </w:r>
      <w:r w:rsidR="007D2A7D">
        <w:rPr>
          <w:rFonts w:ascii="Arial" w:hAnsi="Arial" w:cs="Arial"/>
          <w:color w:val="000000"/>
          <w:sz w:val="20"/>
          <w:szCs w:val="20"/>
        </w:rPr>
        <w:t>. Colombia and Egypt have been top global reformers in four of the past seven years</w:t>
      </w:r>
      <w:r w:rsidR="00F22D35" w:rsidRPr="005450B6">
        <w:rPr>
          <w:rFonts w:ascii="Arial" w:hAnsi="Arial" w:cs="Arial"/>
          <w:sz w:val="20"/>
          <w:szCs w:val="20"/>
        </w:rPr>
        <w:t>.</w:t>
      </w:r>
      <w:r w:rsidR="00F22D35">
        <w:rPr>
          <w:rFonts w:ascii="Arial" w:hAnsi="Arial" w:cs="Arial"/>
          <w:sz w:val="20"/>
          <w:szCs w:val="20"/>
        </w:rPr>
        <w:t xml:space="preserve"> </w:t>
      </w:r>
    </w:p>
    <w:p w:rsidR="00F22D35" w:rsidRPr="005450B6" w:rsidRDefault="00F22D35" w:rsidP="009A5DF2">
      <w:pPr>
        <w:rPr>
          <w:rFonts w:ascii="Arial" w:hAnsi="Arial" w:cs="Arial"/>
          <w:bCs/>
          <w:color w:val="090909"/>
          <w:sz w:val="20"/>
          <w:szCs w:val="20"/>
        </w:rPr>
      </w:pPr>
    </w:p>
    <w:p w:rsidR="00184CFA" w:rsidRPr="0097106E" w:rsidRDefault="00184CFA" w:rsidP="00184CFA">
      <w:pPr>
        <w:autoSpaceDE w:val="0"/>
        <w:autoSpaceDN w:val="0"/>
        <w:adjustRightInd w:val="0"/>
        <w:rPr>
          <w:rFonts w:ascii="Arial" w:hAnsi="Arial" w:cs="Arial"/>
          <w:color w:val="000000"/>
          <w:sz w:val="20"/>
          <w:szCs w:val="20"/>
        </w:rPr>
      </w:pPr>
      <w:r w:rsidRPr="0097106E">
        <w:rPr>
          <w:rFonts w:ascii="Arial" w:hAnsi="Arial" w:cs="Arial"/>
          <w:bCs/>
          <w:i/>
          <w:color w:val="090909"/>
          <w:sz w:val="20"/>
          <w:szCs w:val="20"/>
        </w:rPr>
        <w:t>Doing Business</w:t>
      </w:r>
      <w:r w:rsidRPr="0097106E">
        <w:rPr>
          <w:rFonts w:ascii="Arial" w:hAnsi="Arial" w:cs="Arial"/>
          <w:bCs/>
          <w:color w:val="090909"/>
          <w:sz w:val="20"/>
          <w:szCs w:val="20"/>
        </w:rPr>
        <w:t xml:space="preserve"> analyzes regulations that apply to an economy’s businesses during their life cycles, including start-up and operations, </w:t>
      </w:r>
      <w:r w:rsidRPr="0097106E">
        <w:rPr>
          <w:rFonts w:ascii="Arial" w:hAnsi="Arial" w:cs="Arial"/>
          <w:sz w:val="20"/>
          <w:szCs w:val="20"/>
        </w:rPr>
        <w:t>trading across borders, paying taxes, and closing a business.</w:t>
      </w:r>
      <w:r w:rsidRPr="0097106E">
        <w:rPr>
          <w:rFonts w:ascii="Arial" w:hAnsi="Arial" w:cs="Arial"/>
          <w:bCs/>
          <w:color w:val="090909"/>
          <w:sz w:val="20"/>
          <w:szCs w:val="20"/>
        </w:rPr>
        <w:t xml:space="preserve"> </w:t>
      </w:r>
      <w:r w:rsidRPr="0097106E">
        <w:rPr>
          <w:rFonts w:ascii="Arial" w:hAnsi="Arial" w:cs="Arial"/>
          <w:bCs/>
          <w:i/>
          <w:color w:val="090909"/>
          <w:sz w:val="20"/>
          <w:szCs w:val="20"/>
        </w:rPr>
        <w:t>Doing Business</w:t>
      </w:r>
      <w:r w:rsidRPr="0097106E">
        <w:rPr>
          <w:rFonts w:ascii="Arial" w:hAnsi="Arial" w:cs="Arial"/>
          <w:bCs/>
          <w:color w:val="090909"/>
          <w:sz w:val="20"/>
          <w:szCs w:val="20"/>
        </w:rPr>
        <w:t xml:space="preserve"> does not measure all aspects of the business environment that matter to firms and investors. For example, it does not measure security, macroeconomic stability, corruption, skill level, or the strength of financial systems.</w:t>
      </w:r>
    </w:p>
    <w:p w:rsidR="00184CFA" w:rsidRPr="0097106E" w:rsidRDefault="00184CFA" w:rsidP="00184CFA">
      <w:pPr>
        <w:autoSpaceDE w:val="0"/>
        <w:autoSpaceDN w:val="0"/>
        <w:adjustRightInd w:val="0"/>
        <w:rPr>
          <w:rFonts w:ascii="Arial" w:hAnsi="Arial" w:cs="Arial"/>
          <w:color w:val="000000"/>
          <w:sz w:val="20"/>
          <w:szCs w:val="20"/>
        </w:rPr>
      </w:pPr>
    </w:p>
    <w:p w:rsidR="00184CFA" w:rsidRPr="0097106E" w:rsidRDefault="00184CFA" w:rsidP="00184CFA">
      <w:pPr>
        <w:autoSpaceDE w:val="0"/>
        <w:autoSpaceDN w:val="0"/>
        <w:adjustRightInd w:val="0"/>
        <w:rPr>
          <w:rFonts w:ascii="Arial" w:hAnsi="Arial" w:cs="Arial"/>
          <w:b/>
          <w:bCs/>
          <w:color w:val="000000"/>
          <w:sz w:val="20"/>
          <w:szCs w:val="20"/>
        </w:rPr>
      </w:pPr>
      <w:r w:rsidRPr="0097106E">
        <w:rPr>
          <w:rFonts w:ascii="Arial" w:hAnsi="Arial" w:cs="Arial"/>
          <w:b/>
          <w:bCs/>
          <w:color w:val="000000"/>
          <w:sz w:val="20"/>
          <w:szCs w:val="20"/>
        </w:rPr>
        <w:t>About the World Bank Group</w:t>
      </w:r>
    </w:p>
    <w:p w:rsidR="00184CFA" w:rsidRDefault="00184CFA" w:rsidP="00184CFA">
      <w:pPr>
        <w:rPr>
          <w:rFonts w:ascii="Arial" w:hAnsi="Arial" w:cs="Arial"/>
          <w:color w:val="000000"/>
          <w:sz w:val="20"/>
          <w:szCs w:val="20"/>
        </w:rPr>
      </w:pPr>
      <w:r w:rsidRPr="0097106E">
        <w:rPr>
          <w:rFonts w:ascii="Arial" w:hAnsi="Arial" w:cs="Arial"/>
          <w:color w:val="000000"/>
          <w:sz w:val="20"/>
          <w:szCs w:val="20"/>
        </w:rPr>
        <w:t xml:space="preserve">The World Bank Group is one of the world’s largest sources of funding and knowledge for developing countries. It comprises five closely associated institutions: the International Bank for Reconstruction and Development (IBRD) and the International Development Association (IDA), the International Finance Corporation (IFC); the Multilateral Investment Guarantee Agency (MIGA); and the International Centre for </w:t>
      </w:r>
      <w:r w:rsidRPr="0097106E">
        <w:rPr>
          <w:rFonts w:ascii="Arial" w:hAnsi="Arial" w:cs="Arial"/>
          <w:color w:val="000000"/>
          <w:sz w:val="20"/>
          <w:szCs w:val="20"/>
        </w:rPr>
        <w:lastRenderedPageBreak/>
        <w:t xml:space="preserve">Settlement of Investment Disputes (ICSID). Each institution plays a distinct role in the mission to fight poverty and improve living standards for people in the developing world. For more information, please visit www.worldbank.org, www.miga.org, and </w:t>
      </w:r>
      <w:r w:rsidRPr="00503AAE">
        <w:rPr>
          <w:rFonts w:ascii="Arial" w:hAnsi="Arial" w:cs="Arial"/>
          <w:color w:val="000000"/>
          <w:sz w:val="20"/>
          <w:szCs w:val="20"/>
        </w:rPr>
        <w:t>www.ifc.org</w:t>
      </w:r>
      <w:r w:rsidRPr="0097106E">
        <w:rPr>
          <w:rFonts w:ascii="Arial" w:hAnsi="Arial" w:cs="Arial"/>
          <w:color w:val="000000"/>
          <w:sz w:val="20"/>
          <w:szCs w:val="20"/>
        </w:rPr>
        <w:t>.</w:t>
      </w:r>
    </w:p>
    <w:p w:rsidR="00184CFA" w:rsidRDefault="00184CFA" w:rsidP="00184CFA">
      <w:pPr>
        <w:rPr>
          <w:rFonts w:ascii="Arial" w:hAnsi="Arial" w:cs="Arial"/>
          <w:color w:val="000000"/>
          <w:sz w:val="20"/>
          <w:szCs w:val="20"/>
        </w:rPr>
      </w:pPr>
    </w:p>
    <w:p w:rsidR="00184CFA" w:rsidRPr="0097106E" w:rsidRDefault="00184CFA" w:rsidP="00184CFA">
      <w:pPr>
        <w:rPr>
          <w:rFonts w:ascii="Arial" w:hAnsi="Arial" w:cs="Arial"/>
        </w:rPr>
      </w:pPr>
      <w:r>
        <w:rPr>
          <w:rFonts w:ascii="Arial" w:hAnsi="Arial" w:cs="Arial"/>
          <w:color w:val="000000"/>
          <w:sz w:val="20"/>
          <w:szCs w:val="20"/>
        </w:rPr>
        <w:t xml:space="preserve">For more information about the </w:t>
      </w:r>
      <w:r w:rsidRPr="00F04281">
        <w:rPr>
          <w:rFonts w:ascii="Arial" w:hAnsi="Arial" w:cs="Arial"/>
          <w:i/>
          <w:color w:val="000000"/>
          <w:sz w:val="20"/>
          <w:szCs w:val="20"/>
        </w:rPr>
        <w:t xml:space="preserve">Doing Business </w:t>
      </w:r>
      <w:r>
        <w:rPr>
          <w:rFonts w:ascii="Arial" w:hAnsi="Arial" w:cs="Arial"/>
          <w:color w:val="000000"/>
          <w:sz w:val="20"/>
          <w:szCs w:val="20"/>
        </w:rPr>
        <w:t xml:space="preserve">report series, please visit: </w:t>
      </w:r>
      <w:r w:rsidRPr="00503AAE">
        <w:rPr>
          <w:rFonts w:ascii="Arial" w:hAnsi="Arial" w:cs="Arial"/>
          <w:color w:val="000000"/>
          <w:sz w:val="20"/>
          <w:szCs w:val="20"/>
        </w:rPr>
        <w:t>www.doingbusiness.org</w:t>
      </w:r>
      <w:r>
        <w:rPr>
          <w:rFonts w:ascii="Arial" w:hAnsi="Arial" w:cs="Arial"/>
          <w:color w:val="000000"/>
          <w:sz w:val="20"/>
          <w:szCs w:val="20"/>
        </w:rPr>
        <w:t xml:space="preserve"> </w:t>
      </w:r>
    </w:p>
    <w:p w:rsidR="00F22D35" w:rsidRDefault="00F22D35" w:rsidP="00184CFA">
      <w:pPr>
        <w:autoSpaceDE w:val="0"/>
        <w:autoSpaceDN w:val="0"/>
        <w:adjustRightInd w:val="0"/>
        <w:rPr>
          <w:rFonts w:ascii="Arial" w:hAnsi="Arial" w:cs="Arial"/>
          <w:bCs/>
          <w:color w:val="090909"/>
          <w:sz w:val="20"/>
          <w:szCs w:val="20"/>
        </w:rPr>
      </w:pPr>
    </w:p>
    <w:p w:rsidR="0049079F" w:rsidRDefault="0049079F" w:rsidP="0049079F">
      <w:pPr>
        <w:spacing w:after="240"/>
        <w:jc w:val="both"/>
        <w:rPr>
          <w:rFonts w:ascii="Arial" w:hAnsi="Arial" w:cs="Arial"/>
          <w:b/>
          <w:sz w:val="20"/>
          <w:szCs w:val="20"/>
        </w:rPr>
      </w:pPr>
      <w:r>
        <w:rPr>
          <w:rFonts w:ascii="Arial" w:hAnsi="Arial" w:cs="Arial"/>
          <w:b/>
          <w:sz w:val="20"/>
          <w:szCs w:val="20"/>
        </w:rPr>
        <w:t xml:space="preserve">For more information on </w:t>
      </w:r>
      <w:r>
        <w:rPr>
          <w:rFonts w:ascii="Arial" w:hAnsi="Arial" w:cs="Arial"/>
          <w:b/>
          <w:i/>
          <w:sz w:val="20"/>
          <w:szCs w:val="20"/>
        </w:rPr>
        <w:t>Doing Business 2010,</w:t>
      </w:r>
      <w:r>
        <w:rPr>
          <w:rFonts w:ascii="Arial" w:hAnsi="Arial" w:cs="Arial"/>
          <w:b/>
          <w:sz w:val="20"/>
          <w:szCs w:val="20"/>
        </w:rPr>
        <w:t xml:space="preserve"> please contact:</w:t>
      </w:r>
    </w:p>
    <w:p w:rsidR="0049079F" w:rsidRDefault="0049079F" w:rsidP="0049079F">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Nadine Ghannam +1 (202) 473-3011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Rebecca Ong +1 (202) 458-0434</w:t>
      </w:r>
      <w:r>
        <w:rPr>
          <w:rFonts w:ascii="Arial" w:hAnsi="Arial" w:cs="Arial"/>
          <w:color w:val="000000"/>
          <w:sz w:val="20"/>
          <w:szCs w:val="20"/>
        </w:rPr>
        <w:tab/>
      </w:r>
    </w:p>
    <w:p w:rsidR="0049079F" w:rsidRDefault="0049079F" w:rsidP="0049079F">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E-mail: nsghannam@ifc.org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E-mail: rong@worldbank.org</w:t>
      </w:r>
    </w:p>
    <w:p w:rsidR="006961F9" w:rsidRPr="00B210B8" w:rsidRDefault="006961F9" w:rsidP="006961F9">
      <w:pPr>
        <w:autoSpaceDE w:val="0"/>
        <w:autoSpaceDN w:val="0"/>
        <w:adjustRightInd w:val="0"/>
        <w:spacing w:line="240" w:lineRule="atLeast"/>
        <w:jc w:val="both"/>
        <w:rPr>
          <w:rFonts w:ascii="Arial" w:hAnsi="Arial" w:cs="Arial"/>
          <w:b/>
          <w:color w:val="FF0000"/>
          <w:sz w:val="20"/>
          <w:szCs w:val="20"/>
        </w:rPr>
      </w:pPr>
    </w:p>
    <w:p w:rsidR="006961F9" w:rsidRDefault="006961F9" w:rsidP="006961F9">
      <w:pPr>
        <w:autoSpaceDE w:val="0"/>
        <w:autoSpaceDN w:val="0"/>
        <w:adjustRightInd w:val="0"/>
        <w:spacing w:line="240" w:lineRule="atLeast"/>
        <w:jc w:val="both"/>
        <w:rPr>
          <w:rFonts w:ascii="Arial" w:hAnsi="Arial" w:cs="Arial"/>
          <w:b/>
          <w:bCs/>
          <w:i/>
          <w:sz w:val="20"/>
          <w:szCs w:val="20"/>
        </w:rPr>
      </w:pPr>
      <w:r w:rsidRPr="00B210B8">
        <w:rPr>
          <w:rFonts w:ascii="Arial" w:hAnsi="Arial" w:cs="Arial"/>
          <w:b/>
          <w:bCs/>
          <w:sz w:val="20"/>
          <w:szCs w:val="20"/>
        </w:rPr>
        <w:t xml:space="preserve">Contacts for region-specific queries on </w:t>
      </w:r>
      <w:r w:rsidRPr="00B210B8">
        <w:rPr>
          <w:rFonts w:ascii="Arial" w:hAnsi="Arial" w:cs="Arial"/>
          <w:b/>
          <w:bCs/>
          <w:i/>
          <w:iCs/>
          <w:sz w:val="20"/>
          <w:szCs w:val="20"/>
        </w:rPr>
        <w:t>Doing Business 2010</w:t>
      </w:r>
      <w:r w:rsidRPr="00B210B8">
        <w:rPr>
          <w:rFonts w:ascii="Arial" w:hAnsi="Arial" w:cs="Arial"/>
          <w:b/>
          <w:bCs/>
          <w:i/>
          <w:sz w:val="20"/>
          <w:szCs w:val="20"/>
        </w:rPr>
        <w:t>:</w:t>
      </w:r>
    </w:p>
    <w:p w:rsidR="006961F9" w:rsidRPr="00B210B8" w:rsidRDefault="006961F9" w:rsidP="006961F9">
      <w:pPr>
        <w:autoSpaceDE w:val="0"/>
        <w:autoSpaceDN w:val="0"/>
        <w:adjustRightInd w:val="0"/>
        <w:spacing w:line="240" w:lineRule="atLeast"/>
        <w:jc w:val="both"/>
        <w:rPr>
          <w:rFonts w:ascii="Arial" w:hAnsi="Arial" w:cs="Arial"/>
          <w:b/>
          <w:bCs/>
          <w:sz w:val="20"/>
          <w:szCs w:val="20"/>
        </w:rPr>
      </w:pPr>
    </w:p>
    <w:p w:rsidR="006961F9" w:rsidRPr="00A5491A" w:rsidRDefault="006961F9" w:rsidP="006961F9">
      <w:pPr>
        <w:autoSpaceDE w:val="0"/>
        <w:autoSpaceDN w:val="0"/>
        <w:adjustRightInd w:val="0"/>
        <w:spacing w:line="240" w:lineRule="atLeast"/>
        <w:rPr>
          <w:rFonts w:ascii="Arial" w:hAnsi="Arial" w:cs="Arial"/>
          <w:sz w:val="20"/>
          <w:szCs w:val="20"/>
        </w:rPr>
      </w:pPr>
      <w:r w:rsidRPr="00A5491A">
        <w:rPr>
          <w:rFonts w:ascii="Arial" w:hAnsi="Arial" w:cs="Arial"/>
          <w:b/>
          <w:bCs/>
          <w:sz w:val="20"/>
          <w:szCs w:val="20"/>
        </w:rPr>
        <w:t>Latin America and the Caribbean</w:t>
      </w:r>
      <w:r w:rsidRPr="00A5491A">
        <w:rPr>
          <w:rFonts w:ascii="Arial" w:hAnsi="Arial" w:cs="Arial"/>
          <w:b/>
          <w:bCs/>
          <w:sz w:val="20"/>
          <w:szCs w:val="20"/>
        </w:rPr>
        <w:br/>
      </w:r>
      <w:r w:rsidRPr="00A5491A">
        <w:rPr>
          <w:rFonts w:ascii="Arial" w:hAnsi="Arial" w:cs="Arial"/>
          <w:sz w:val="20"/>
          <w:szCs w:val="20"/>
        </w:rPr>
        <w:t>Adriana Gomez +1</w:t>
      </w:r>
      <w:r>
        <w:rPr>
          <w:rFonts w:ascii="Arial" w:hAnsi="Arial" w:cs="Arial"/>
          <w:sz w:val="20"/>
          <w:szCs w:val="20"/>
        </w:rPr>
        <w:t xml:space="preserve"> </w:t>
      </w:r>
      <w:r w:rsidRPr="00A5491A">
        <w:rPr>
          <w:rFonts w:ascii="Arial" w:hAnsi="Arial" w:cs="Arial"/>
          <w:sz w:val="20"/>
          <w:szCs w:val="20"/>
        </w:rPr>
        <w:t xml:space="preserve">(202) 458-5204 </w:t>
      </w:r>
      <w:r w:rsidRPr="00A5491A">
        <w:rPr>
          <w:rFonts w:ascii="Arial" w:hAnsi="Arial" w:cs="Arial"/>
          <w:sz w:val="20"/>
          <w:szCs w:val="20"/>
        </w:rPr>
        <w:tab/>
      </w:r>
      <w:r w:rsidRPr="00A5491A">
        <w:rPr>
          <w:rFonts w:ascii="Arial" w:hAnsi="Arial" w:cs="Arial"/>
          <w:sz w:val="20"/>
          <w:szCs w:val="20"/>
        </w:rPr>
        <w:tab/>
      </w:r>
      <w:r w:rsidRPr="00A5491A">
        <w:rPr>
          <w:rFonts w:ascii="Arial" w:hAnsi="Arial" w:cs="Arial"/>
          <w:sz w:val="20"/>
          <w:szCs w:val="20"/>
        </w:rPr>
        <w:tab/>
        <w:t>Gabriela Aguilar +</w:t>
      </w:r>
      <w:r w:rsidRPr="00A5491A">
        <w:rPr>
          <w:rFonts w:ascii="Arial" w:hAnsi="Arial" w:cs="Arial"/>
          <w:color w:val="000000"/>
          <w:sz w:val="20"/>
          <w:szCs w:val="20"/>
        </w:rPr>
        <w:t>1</w:t>
      </w:r>
      <w:r>
        <w:rPr>
          <w:rFonts w:ascii="Arial" w:hAnsi="Arial" w:cs="Arial"/>
          <w:color w:val="000000"/>
          <w:sz w:val="20"/>
          <w:szCs w:val="20"/>
        </w:rPr>
        <w:t xml:space="preserve"> </w:t>
      </w:r>
      <w:r w:rsidRPr="00A5491A">
        <w:rPr>
          <w:rFonts w:ascii="Arial" w:hAnsi="Arial" w:cs="Arial"/>
          <w:color w:val="000000"/>
          <w:sz w:val="20"/>
          <w:szCs w:val="20"/>
        </w:rPr>
        <w:t>(202) 473-6768</w:t>
      </w:r>
      <w:r w:rsidRPr="00A5491A">
        <w:rPr>
          <w:rFonts w:ascii="Arial" w:hAnsi="Arial" w:cs="Arial"/>
          <w:sz w:val="20"/>
          <w:szCs w:val="20"/>
        </w:rPr>
        <w:br/>
        <w:t>E-mail: agomez@ifc.org</w:t>
      </w:r>
      <w:r w:rsidRPr="00A5491A">
        <w:rPr>
          <w:rFonts w:ascii="Arial" w:hAnsi="Arial" w:cs="Arial"/>
          <w:sz w:val="20"/>
          <w:szCs w:val="20"/>
        </w:rPr>
        <w:tab/>
      </w:r>
      <w:r w:rsidRPr="00A5491A">
        <w:rPr>
          <w:rFonts w:ascii="Arial" w:hAnsi="Arial" w:cs="Arial"/>
          <w:sz w:val="20"/>
          <w:szCs w:val="20"/>
        </w:rPr>
        <w:tab/>
      </w:r>
      <w:r w:rsidRPr="00A5491A">
        <w:rPr>
          <w:rFonts w:ascii="Arial" w:hAnsi="Arial" w:cs="Arial"/>
          <w:sz w:val="20"/>
          <w:szCs w:val="20"/>
        </w:rPr>
        <w:tab/>
      </w:r>
      <w:r w:rsidRPr="00A5491A">
        <w:rPr>
          <w:rFonts w:ascii="Arial" w:hAnsi="Arial" w:cs="Arial"/>
          <w:sz w:val="20"/>
          <w:szCs w:val="20"/>
        </w:rPr>
        <w:tab/>
      </w:r>
      <w:r w:rsidRPr="00A5491A">
        <w:rPr>
          <w:rFonts w:ascii="Arial" w:hAnsi="Arial" w:cs="Arial"/>
          <w:sz w:val="20"/>
          <w:szCs w:val="20"/>
        </w:rPr>
        <w:tab/>
        <w:t>E-mail: gaguilar2@worldbank.org</w:t>
      </w:r>
    </w:p>
    <w:p w:rsidR="006961F9" w:rsidRPr="00A2365C" w:rsidRDefault="006961F9" w:rsidP="00184CFA">
      <w:pPr>
        <w:autoSpaceDE w:val="0"/>
        <w:autoSpaceDN w:val="0"/>
        <w:adjustRightInd w:val="0"/>
        <w:rPr>
          <w:rFonts w:ascii="Arial" w:hAnsi="Arial" w:cs="Arial"/>
          <w:bCs/>
          <w:color w:val="090909"/>
          <w:sz w:val="20"/>
          <w:szCs w:val="20"/>
        </w:rPr>
      </w:pPr>
    </w:p>
    <w:sectPr w:rsidR="006961F9" w:rsidRPr="00A2365C" w:rsidSect="007010C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57385"/>
    <w:rsid w:val="00024195"/>
    <w:rsid w:val="00044BBE"/>
    <w:rsid w:val="000853D5"/>
    <w:rsid w:val="000A4427"/>
    <w:rsid w:val="000B15B6"/>
    <w:rsid w:val="000F67BF"/>
    <w:rsid w:val="00152EA5"/>
    <w:rsid w:val="00172678"/>
    <w:rsid w:val="00184CFA"/>
    <w:rsid w:val="001C109B"/>
    <w:rsid w:val="001E22CF"/>
    <w:rsid w:val="002037C1"/>
    <w:rsid w:val="00235C60"/>
    <w:rsid w:val="00265CA7"/>
    <w:rsid w:val="00266A4B"/>
    <w:rsid w:val="0029177A"/>
    <w:rsid w:val="002A17F3"/>
    <w:rsid w:val="002C41B4"/>
    <w:rsid w:val="002C618C"/>
    <w:rsid w:val="002D362C"/>
    <w:rsid w:val="00323401"/>
    <w:rsid w:val="0034348B"/>
    <w:rsid w:val="00365368"/>
    <w:rsid w:val="00396C85"/>
    <w:rsid w:val="00443240"/>
    <w:rsid w:val="00451D24"/>
    <w:rsid w:val="004777F0"/>
    <w:rsid w:val="00486312"/>
    <w:rsid w:val="0049079F"/>
    <w:rsid w:val="004A0107"/>
    <w:rsid w:val="004C430B"/>
    <w:rsid w:val="004C718B"/>
    <w:rsid w:val="004D11F4"/>
    <w:rsid w:val="00524EC4"/>
    <w:rsid w:val="005450B6"/>
    <w:rsid w:val="0055719F"/>
    <w:rsid w:val="00590E96"/>
    <w:rsid w:val="005D2F2E"/>
    <w:rsid w:val="005E2F95"/>
    <w:rsid w:val="0060286A"/>
    <w:rsid w:val="00614620"/>
    <w:rsid w:val="006523EE"/>
    <w:rsid w:val="006961F9"/>
    <w:rsid w:val="006B6A46"/>
    <w:rsid w:val="006F369C"/>
    <w:rsid w:val="007010C1"/>
    <w:rsid w:val="00702D28"/>
    <w:rsid w:val="00747404"/>
    <w:rsid w:val="00767DB9"/>
    <w:rsid w:val="00783F60"/>
    <w:rsid w:val="007A0E58"/>
    <w:rsid w:val="007C5523"/>
    <w:rsid w:val="007D2A7D"/>
    <w:rsid w:val="007E19EC"/>
    <w:rsid w:val="007F0B1D"/>
    <w:rsid w:val="0084584E"/>
    <w:rsid w:val="008639EF"/>
    <w:rsid w:val="00901E94"/>
    <w:rsid w:val="00974B51"/>
    <w:rsid w:val="009813B8"/>
    <w:rsid w:val="009A5DF2"/>
    <w:rsid w:val="009E1559"/>
    <w:rsid w:val="00A036F7"/>
    <w:rsid w:val="00A2365C"/>
    <w:rsid w:val="00A57385"/>
    <w:rsid w:val="00AE53DE"/>
    <w:rsid w:val="00B27016"/>
    <w:rsid w:val="00B36559"/>
    <w:rsid w:val="00B44C2B"/>
    <w:rsid w:val="00B4512F"/>
    <w:rsid w:val="00B7116C"/>
    <w:rsid w:val="00BA36C4"/>
    <w:rsid w:val="00BB24A1"/>
    <w:rsid w:val="00BB7359"/>
    <w:rsid w:val="00BC51D6"/>
    <w:rsid w:val="00BE7CB0"/>
    <w:rsid w:val="00C82150"/>
    <w:rsid w:val="00CE57F6"/>
    <w:rsid w:val="00CF467D"/>
    <w:rsid w:val="00D10601"/>
    <w:rsid w:val="00D43F87"/>
    <w:rsid w:val="00DE3D13"/>
    <w:rsid w:val="00DE7F84"/>
    <w:rsid w:val="00DF1A52"/>
    <w:rsid w:val="00E027D7"/>
    <w:rsid w:val="00E03E23"/>
    <w:rsid w:val="00E47002"/>
    <w:rsid w:val="00E71EDD"/>
    <w:rsid w:val="00EA1102"/>
    <w:rsid w:val="00EA6C39"/>
    <w:rsid w:val="00EB4B7B"/>
    <w:rsid w:val="00EC6F26"/>
    <w:rsid w:val="00EE4C4D"/>
    <w:rsid w:val="00F22D35"/>
    <w:rsid w:val="00F53F9B"/>
    <w:rsid w:val="00F6138F"/>
    <w:rsid w:val="00F65BDF"/>
    <w:rsid w:val="00F67C2E"/>
    <w:rsid w:val="00F8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385"/>
    <w:pPr>
      <w:tabs>
        <w:tab w:val="center" w:pos="4320"/>
        <w:tab w:val="right" w:pos="8640"/>
      </w:tabs>
    </w:pPr>
  </w:style>
  <w:style w:type="character" w:customStyle="1" w:styleId="HeaderChar">
    <w:name w:val="Header Char"/>
    <w:basedOn w:val="DefaultParagraphFont"/>
    <w:link w:val="Header"/>
    <w:uiPriority w:val="99"/>
    <w:semiHidden/>
    <w:rsid w:val="00EC3EC9"/>
    <w:rPr>
      <w:sz w:val="24"/>
      <w:szCs w:val="24"/>
    </w:rPr>
  </w:style>
  <w:style w:type="table" w:styleId="TableGrid">
    <w:name w:val="Table Grid"/>
    <w:basedOn w:val="TableNormal"/>
    <w:uiPriority w:val="99"/>
    <w:rsid w:val="00A573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57385"/>
    <w:rPr>
      <w:rFonts w:ascii="Verdana" w:hAnsi="Verdana" w:cs="Times New Roman"/>
      <w:color w:val="0000FF"/>
      <w:u w:val="single"/>
    </w:rPr>
  </w:style>
  <w:style w:type="paragraph" w:customStyle="1" w:styleId="Default">
    <w:name w:val="Default"/>
    <w:uiPriority w:val="99"/>
    <w:rsid w:val="001C109B"/>
    <w:pPr>
      <w:autoSpaceDE w:val="0"/>
      <w:autoSpaceDN w:val="0"/>
      <w:adjustRightInd w:val="0"/>
    </w:pPr>
    <w:rPr>
      <w:color w:val="000000"/>
      <w:sz w:val="24"/>
      <w:szCs w:val="24"/>
    </w:rPr>
  </w:style>
  <w:style w:type="paragraph" w:styleId="BalloonText">
    <w:name w:val="Balloon Text"/>
    <w:basedOn w:val="Normal"/>
    <w:link w:val="BalloonTextChar"/>
    <w:uiPriority w:val="99"/>
    <w:rsid w:val="00614620"/>
    <w:rPr>
      <w:rFonts w:ascii="Tahoma" w:hAnsi="Tahoma" w:cs="Tahoma"/>
      <w:sz w:val="16"/>
      <w:szCs w:val="16"/>
    </w:rPr>
  </w:style>
  <w:style w:type="character" w:customStyle="1" w:styleId="BalloonTextChar">
    <w:name w:val="Balloon Text Char"/>
    <w:basedOn w:val="DefaultParagraphFont"/>
    <w:link w:val="BalloonText"/>
    <w:uiPriority w:val="99"/>
    <w:locked/>
    <w:rsid w:val="00614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900569">
      <w:bodyDiv w:val="1"/>
      <w:marLeft w:val="0"/>
      <w:marRight w:val="0"/>
      <w:marTop w:val="0"/>
      <w:marBottom w:val="0"/>
      <w:divBdr>
        <w:top w:val="none" w:sz="0" w:space="0" w:color="auto"/>
        <w:left w:val="none" w:sz="0" w:space="0" w:color="auto"/>
        <w:bottom w:val="none" w:sz="0" w:space="0" w:color="auto"/>
        <w:right w:val="none" w:sz="0" w:space="0" w:color="auto"/>
      </w:divBdr>
    </w:div>
    <w:div w:id="20876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IFC</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SDekouadio</dc:creator>
  <cp:lastModifiedBy>Graeme Littler</cp:lastModifiedBy>
  <cp:revision>5</cp:revision>
  <cp:lastPrinted>2009-08-19T17:08:00Z</cp:lastPrinted>
  <dcterms:created xsi:type="dcterms:W3CDTF">2009-08-31T13:56:00Z</dcterms:created>
  <dcterms:modified xsi:type="dcterms:W3CDTF">2009-08-31T19:18:00Z</dcterms:modified>
</cp:coreProperties>
</file>