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BB" w:rsidRPr="00BC5645" w:rsidRDefault="007612BB" w:rsidP="002A4D98">
      <w:pPr>
        <w:ind w:left="-180"/>
        <w:rPr>
          <w:rFonts w:ascii="Arial" w:hAnsi="Arial" w:cs="Arial"/>
          <w:sz w:val="20"/>
          <w:szCs w:val="20"/>
        </w:rPr>
      </w:pPr>
    </w:p>
    <w:tbl>
      <w:tblPr>
        <w:tblW w:w="0" w:type="auto"/>
        <w:tblInd w:w="-106" w:type="dxa"/>
        <w:tblLook w:val="01E0"/>
      </w:tblPr>
      <w:tblGrid>
        <w:gridCol w:w="5675"/>
        <w:gridCol w:w="3816"/>
      </w:tblGrid>
      <w:tr w:rsidR="007612BB" w:rsidRPr="00BC5645">
        <w:trPr>
          <w:trHeight w:val="945"/>
        </w:trPr>
        <w:tc>
          <w:tcPr>
            <w:tcW w:w="5675" w:type="dxa"/>
          </w:tcPr>
          <w:p w:rsidR="007612BB" w:rsidRPr="00BC5645" w:rsidRDefault="00ED1046" w:rsidP="00A72A31">
            <w:pPr>
              <w:pStyle w:val="Header"/>
              <w:jc w:val="center"/>
              <w:rPr>
                <w:rFonts w:ascii="Arial" w:hAnsi="Arial" w:cs="Arial"/>
                <w:sz w:val="20"/>
                <w:szCs w:val="20"/>
              </w:rPr>
            </w:pPr>
            <w:r>
              <w:rPr>
                <w:rFonts w:ascii="Arial" w:hAnsi="Arial" w:cs="Arial"/>
                <w:noProof/>
              </w:rPr>
              <w:drawing>
                <wp:inline distT="0" distB="0" distL="0" distR="0">
                  <wp:extent cx="3248025" cy="600710"/>
                  <wp:effectExtent l="19050" t="0" r="9525"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a:srcRect/>
                          <a:stretch>
                            <a:fillRect/>
                          </a:stretch>
                        </pic:blipFill>
                        <pic:spPr bwMode="auto">
                          <a:xfrm>
                            <a:off x="0" y="0"/>
                            <a:ext cx="3248025" cy="600710"/>
                          </a:xfrm>
                          <a:prstGeom prst="rect">
                            <a:avLst/>
                          </a:prstGeom>
                          <a:noFill/>
                          <a:ln w="9525">
                            <a:noFill/>
                            <a:miter lim="800000"/>
                            <a:headEnd/>
                            <a:tailEnd/>
                          </a:ln>
                        </pic:spPr>
                      </pic:pic>
                    </a:graphicData>
                  </a:graphic>
                </wp:inline>
              </w:drawing>
            </w:r>
          </w:p>
        </w:tc>
        <w:tc>
          <w:tcPr>
            <w:tcW w:w="3816" w:type="dxa"/>
          </w:tcPr>
          <w:p w:rsidR="007612BB" w:rsidRPr="00BC5645" w:rsidRDefault="00ED1046" w:rsidP="00A72A31">
            <w:pPr>
              <w:pStyle w:val="Header"/>
              <w:jc w:val="center"/>
              <w:rPr>
                <w:rFonts w:ascii="Arial" w:hAnsi="Arial" w:cs="Arial"/>
                <w:sz w:val="20"/>
                <w:szCs w:val="20"/>
              </w:rPr>
            </w:pPr>
            <w:r>
              <w:rPr>
                <w:rFonts w:ascii="Arial" w:hAnsi="Arial" w:cs="Arial"/>
                <w:noProof/>
                <w:sz w:val="20"/>
                <w:szCs w:val="20"/>
              </w:rPr>
              <w:drawing>
                <wp:inline distT="0" distB="0" distL="0" distR="0">
                  <wp:extent cx="2238375" cy="607060"/>
                  <wp:effectExtent l="19050" t="0" r="9525" b="0"/>
                  <wp:docPr id="2" name="Picture 2" descr="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_logo"/>
                          <pic:cNvPicPr>
                            <a:picLocks noChangeAspect="1" noChangeArrowheads="1"/>
                          </pic:cNvPicPr>
                        </pic:nvPicPr>
                        <pic:blipFill>
                          <a:blip r:embed="rId7"/>
                          <a:srcRect/>
                          <a:stretch>
                            <a:fillRect/>
                          </a:stretch>
                        </pic:blipFill>
                        <pic:spPr bwMode="auto">
                          <a:xfrm>
                            <a:off x="0" y="0"/>
                            <a:ext cx="2238375" cy="607060"/>
                          </a:xfrm>
                          <a:prstGeom prst="rect">
                            <a:avLst/>
                          </a:prstGeom>
                          <a:noFill/>
                          <a:ln w="9525">
                            <a:noFill/>
                            <a:miter lim="800000"/>
                            <a:headEnd/>
                            <a:tailEnd/>
                          </a:ln>
                        </pic:spPr>
                      </pic:pic>
                    </a:graphicData>
                  </a:graphic>
                </wp:inline>
              </w:drawing>
            </w:r>
          </w:p>
        </w:tc>
      </w:tr>
    </w:tbl>
    <w:p w:rsidR="007612BB" w:rsidRDefault="007612BB" w:rsidP="002A4D98">
      <w:pPr>
        <w:autoSpaceDE w:val="0"/>
        <w:autoSpaceDN w:val="0"/>
        <w:adjustRightInd w:val="0"/>
        <w:rPr>
          <w:rFonts w:ascii="Arial" w:hAnsi="Arial" w:cs="Arial"/>
          <w:b/>
          <w:bCs/>
          <w:color w:val="000000"/>
          <w:sz w:val="28"/>
          <w:szCs w:val="28"/>
        </w:rPr>
      </w:pPr>
    </w:p>
    <w:p w:rsidR="007612BB" w:rsidRPr="004C3945" w:rsidRDefault="007612BB" w:rsidP="004C3945">
      <w:pPr>
        <w:autoSpaceDE w:val="0"/>
        <w:autoSpaceDN w:val="0"/>
        <w:adjustRightInd w:val="0"/>
        <w:rPr>
          <w:rFonts w:ascii="Arial" w:hAnsi="Arial" w:cs="Arial"/>
          <w:b/>
          <w:bCs/>
          <w:sz w:val="20"/>
          <w:szCs w:val="20"/>
        </w:rPr>
      </w:pPr>
      <w:r w:rsidRPr="004C3945">
        <w:rPr>
          <w:rFonts w:ascii="Arial" w:hAnsi="Arial" w:cs="Arial"/>
          <w:b/>
          <w:bCs/>
          <w:sz w:val="20"/>
          <w:szCs w:val="20"/>
        </w:rPr>
        <w:t>In Nairobi:</w:t>
      </w:r>
    </w:p>
    <w:p w:rsidR="007612BB" w:rsidRPr="004C3945" w:rsidRDefault="007612BB" w:rsidP="004C3945">
      <w:pPr>
        <w:autoSpaceDE w:val="0"/>
        <w:autoSpaceDN w:val="0"/>
        <w:adjustRightInd w:val="0"/>
        <w:rPr>
          <w:rFonts w:ascii="Arial" w:hAnsi="Arial" w:cs="Arial"/>
          <w:b/>
          <w:bCs/>
          <w:color w:val="000000"/>
          <w:sz w:val="20"/>
          <w:szCs w:val="20"/>
        </w:rPr>
      </w:pPr>
      <w:r w:rsidRPr="004C3945">
        <w:rPr>
          <w:rFonts w:ascii="Arial" w:hAnsi="Arial" w:cs="Arial"/>
          <w:sz w:val="20"/>
          <w:szCs w:val="20"/>
        </w:rPr>
        <w:t xml:space="preserve">Nana </w:t>
      </w:r>
      <w:proofErr w:type="spellStart"/>
      <w:r w:rsidRPr="004C3945">
        <w:rPr>
          <w:rFonts w:ascii="Arial" w:hAnsi="Arial" w:cs="Arial"/>
          <w:sz w:val="20"/>
          <w:szCs w:val="20"/>
        </w:rPr>
        <w:t>Yaa</w:t>
      </w:r>
      <w:proofErr w:type="spellEnd"/>
      <w:r w:rsidRPr="004C3945">
        <w:rPr>
          <w:rFonts w:ascii="Arial" w:hAnsi="Arial" w:cs="Arial"/>
          <w:sz w:val="20"/>
          <w:szCs w:val="20"/>
        </w:rPr>
        <w:t xml:space="preserve"> </w:t>
      </w:r>
      <w:proofErr w:type="spellStart"/>
      <w:r w:rsidRPr="004C3945">
        <w:rPr>
          <w:rFonts w:ascii="Arial" w:hAnsi="Arial" w:cs="Arial"/>
          <w:sz w:val="20"/>
          <w:szCs w:val="20"/>
        </w:rPr>
        <w:t>Ofori</w:t>
      </w:r>
      <w:proofErr w:type="spellEnd"/>
      <w:r w:rsidRPr="004C3945">
        <w:rPr>
          <w:rFonts w:ascii="Arial" w:hAnsi="Arial" w:cs="Arial"/>
          <w:sz w:val="20"/>
          <w:szCs w:val="20"/>
        </w:rPr>
        <w:t>-Atta</w:t>
      </w:r>
      <w:r w:rsidRPr="004C3945">
        <w:rPr>
          <w:rFonts w:ascii="Arial" w:hAnsi="Arial" w:cs="Arial"/>
          <w:color w:val="000000"/>
          <w:sz w:val="20"/>
          <w:szCs w:val="20"/>
        </w:rPr>
        <w:br/>
        <w:t xml:space="preserve">Phone:  </w:t>
      </w:r>
      <w:r w:rsidRPr="004C3945">
        <w:rPr>
          <w:rFonts w:ascii="Arial" w:hAnsi="Arial" w:cs="Arial"/>
          <w:sz w:val="20"/>
          <w:szCs w:val="20"/>
        </w:rPr>
        <w:t xml:space="preserve">+233 (244) 343-888 </w:t>
      </w:r>
    </w:p>
    <w:p w:rsidR="007612BB" w:rsidRPr="004C3945" w:rsidRDefault="007612BB" w:rsidP="004C3945">
      <w:pPr>
        <w:autoSpaceDE w:val="0"/>
        <w:autoSpaceDN w:val="0"/>
        <w:adjustRightInd w:val="0"/>
        <w:rPr>
          <w:rFonts w:ascii="Helv" w:hAnsi="Helv" w:cs="Helv"/>
          <w:sz w:val="20"/>
          <w:szCs w:val="20"/>
        </w:rPr>
      </w:pPr>
      <w:r w:rsidRPr="004C3945">
        <w:rPr>
          <w:rFonts w:ascii="Arial" w:hAnsi="Arial" w:cs="Arial"/>
          <w:sz w:val="20"/>
          <w:szCs w:val="20"/>
        </w:rPr>
        <w:t xml:space="preserve">E-mail: </w:t>
      </w:r>
      <w:hyperlink r:id="rId8" w:history="1">
        <w:r w:rsidR="003E1E9E" w:rsidRPr="003E1E9E">
          <w:rPr>
            <w:rStyle w:val="Hyperlink"/>
            <w:rFonts w:ascii="Arial" w:hAnsi="Arial" w:cs="Arial"/>
            <w:color w:val="auto"/>
            <w:sz w:val="20"/>
            <w:szCs w:val="20"/>
            <w:u w:val="none"/>
            <w:lang w:val="en-GB"/>
          </w:rPr>
          <w:t>noforiatta@ifc.org</w:t>
        </w:r>
      </w:hyperlink>
    </w:p>
    <w:p w:rsidR="007612BB" w:rsidRPr="004C3945" w:rsidRDefault="007612BB" w:rsidP="004C3945">
      <w:pPr>
        <w:autoSpaceDE w:val="0"/>
        <w:autoSpaceDN w:val="0"/>
        <w:adjustRightInd w:val="0"/>
        <w:rPr>
          <w:rFonts w:ascii="Arial" w:hAnsi="Arial" w:cs="Arial"/>
          <w:sz w:val="20"/>
          <w:szCs w:val="20"/>
          <w:lang w:eastAsia="zh-CN"/>
        </w:rPr>
      </w:pPr>
    </w:p>
    <w:p w:rsidR="007612BB" w:rsidRPr="004C3945" w:rsidRDefault="007612BB" w:rsidP="004C3945">
      <w:pPr>
        <w:rPr>
          <w:rFonts w:ascii="Arial" w:hAnsi="Arial" w:cs="Arial"/>
          <w:color w:val="FF0000"/>
          <w:sz w:val="20"/>
          <w:szCs w:val="20"/>
        </w:rPr>
      </w:pPr>
      <w:r w:rsidRPr="004C3945">
        <w:rPr>
          <w:rFonts w:ascii="Arial" w:hAnsi="Arial" w:cs="Arial"/>
          <w:b/>
          <w:bCs/>
          <w:sz w:val="20"/>
          <w:szCs w:val="20"/>
        </w:rPr>
        <w:t>East African</w:t>
      </w:r>
      <w:r w:rsidRPr="004C3945">
        <w:rPr>
          <w:rFonts w:ascii="Arial" w:hAnsi="Arial" w:cs="Arial"/>
          <w:b/>
          <w:bCs/>
          <w:i/>
          <w:iCs/>
          <w:sz w:val="20"/>
          <w:szCs w:val="20"/>
        </w:rPr>
        <w:t xml:space="preserve"> </w:t>
      </w:r>
      <w:r w:rsidRPr="004C3945">
        <w:rPr>
          <w:rFonts w:ascii="Arial" w:hAnsi="Arial" w:cs="Arial"/>
          <w:b/>
          <w:bCs/>
          <w:sz w:val="20"/>
          <w:szCs w:val="20"/>
        </w:rPr>
        <w:t xml:space="preserve">Economies are Reforming but Still Have Further </w:t>
      </w:r>
      <w:r>
        <w:rPr>
          <w:rFonts w:ascii="Arial" w:hAnsi="Arial" w:cs="Arial"/>
          <w:b/>
          <w:bCs/>
          <w:sz w:val="20"/>
          <w:szCs w:val="20"/>
        </w:rPr>
        <w:t>t</w:t>
      </w:r>
      <w:r w:rsidRPr="004C3945">
        <w:rPr>
          <w:rFonts w:ascii="Arial" w:hAnsi="Arial" w:cs="Arial"/>
          <w:b/>
          <w:bCs/>
          <w:sz w:val="20"/>
          <w:szCs w:val="20"/>
        </w:rPr>
        <w:t>o Go</w:t>
      </w:r>
      <w:r w:rsidRPr="00704914">
        <w:rPr>
          <w:rFonts w:ascii="Arial" w:hAnsi="Arial" w:cs="Arial"/>
          <w:b/>
          <w:bCs/>
          <w:sz w:val="20"/>
          <w:szCs w:val="20"/>
        </w:rPr>
        <w:t>, Finds IFC-World Bank</w:t>
      </w:r>
    </w:p>
    <w:p w:rsidR="007612BB" w:rsidRDefault="007612BB" w:rsidP="004C3945">
      <w:pPr>
        <w:autoSpaceDE w:val="0"/>
        <w:autoSpaceDN w:val="0"/>
        <w:adjustRightInd w:val="0"/>
        <w:rPr>
          <w:rFonts w:ascii="Arial" w:hAnsi="Arial" w:cs="Arial"/>
          <w:b/>
          <w:bCs/>
          <w:color w:val="000000"/>
          <w:sz w:val="20"/>
          <w:szCs w:val="20"/>
        </w:rPr>
      </w:pPr>
    </w:p>
    <w:p w:rsidR="00A06FB7" w:rsidRPr="004C3945" w:rsidRDefault="00A06FB7" w:rsidP="004C3945">
      <w:pPr>
        <w:autoSpaceDE w:val="0"/>
        <w:autoSpaceDN w:val="0"/>
        <w:adjustRightInd w:val="0"/>
        <w:rPr>
          <w:rFonts w:ascii="Arial" w:hAnsi="Arial" w:cs="Arial"/>
          <w:b/>
          <w:bCs/>
          <w:color w:val="000000"/>
          <w:sz w:val="20"/>
          <w:szCs w:val="20"/>
        </w:rPr>
      </w:pPr>
    </w:p>
    <w:p w:rsidR="007612BB" w:rsidRPr="004C3945" w:rsidRDefault="007612BB" w:rsidP="004C3945">
      <w:pPr>
        <w:rPr>
          <w:rFonts w:ascii="Arial" w:hAnsi="Arial" w:cs="Arial"/>
          <w:color w:val="000000"/>
          <w:sz w:val="20"/>
          <w:szCs w:val="20"/>
        </w:rPr>
      </w:pPr>
      <w:r w:rsidRPr="004C3945">
        <w:rPr>
          <w:rFonts w:ascii="Arial" w:hAnsi="Arial" w:cs="Arial"/>
          <w:b/>
          <w:bCs/>
          <w:color w:val="000000"/>
          <w:sz w:val="20"/>
          <w:szCs w:val="20"/>
        </w:rPr>
        <w:t>Nairobi, Kenya, May 24, 2010</w:t>
      </w:r>
      <w:r w:rsidRPr="004C3945">
        <w:rPr>
          <w:rFonts w:ascii="Arial" w:hAnsi="Arial" w:cs="Arial"/>
          <w:color w:val="000000"/>
          <w:sz w:val="20"/>
          <w:szCs w:val="20"/>
        </w:rPr>
        <w:t>—</w:t>
      </w:r>
      <w:proofErr w:type="gramStart"/>
      <w:r w:rsidRPr="004C3945">
        <w:rPr>
          <w:rFonts w:ascii="Arial" w:hAnsi="Arial" w:cs="Arial"/>
          <w:color w:val="000000"/>
          <w:sz w:val="20"/>
          <w:szCs w:val="20"/>
        </w:rPr>
        <w:t>In</w:t>
      </w:r>
      <w:proofErr w:type="gramEnd"/>
      <w:r w:rsidRPr="004C3945">
        <w:rPr>
          <w:rFonts w:ascii="Arial" w:hAnsi="Arial" w:cs="Arial"/>
          <w:color w:val="000000"/>
          <w:sz w:val="20"/>
          <w:szCs w:val="20"/>
        </w:rPr>
        <w:t xml:space="preserve"> a year of fast-paced reform, East African economies continue to improve their performance, finds a new report by IFC and the World Bank.</w:t>
      </w:r>
    </w:p>
    <w:p w:rsidR="007612BB" w:rsidRPr="004C3945" w:rsidRDefault="007612BB" w:rsidP="004C3945">
      <w:pPr>
        <w:rPr>
          <w:rFonts w:ascii="Arial" w:hAnsi="Arial" w:cs="Arial"/>
          <w:color w:val="000000"/>
          <w:sz w:val="20"/>
          <w:szCs w:val="20"/>
        </w:rPr>
      </w:pPr>
    </w:p>
    <w:p w:rsidR="007612BB" w:rsidRPr="004C3945" w:rsidRDefault="007612BB" w:rsidP="004C3945">
      <w:pPr>
        <w:rPr>
          <w:rFonts w:ascii="Arial" w:hAnsi="Arial" w:cs="Arial"/>
          <w:color w:val="000000"/>
          <w:sz w:val="20"/>
          <w:szCs w:val="20"/>
        </w:rPr>
      </w:pPr>
      <w:r w:rsidRPr="004C3945">
        <w:rPr>
          <w:rFonts w:ascii="Arial" w:hAnsi="Arial" w:cs="Arial"/>
          <w:color w:val="000000"/>
          <w:sz w:val="20"/>
          <w:szCs w:val="20"/>
        </w:rPr>
        <w:t xml:space="preserve">Launched today, </w:t>
      </w:r>
      <w:r w:rsidRPr="004C3945">
        <w:rPr>
          <w:rFonts w:ascii="Arial" w:hAnsi="Arial" w:cs="Arial"/>
          <w:i/>
          <w:iCs/>
          <w:color w:val="000000"/>
          <w:sz w:val="20"/>
          <w:szCs w:val="20"/>
        </w:rPr>
        <w:t>Doing Business in the East African Community 2010</w:t>
      </w:r>
      <w:r w:rsidRPr="004C3945">
        <w:rPr>
          <w:rFonts w:ascii="Arial" w:hAnsi="Arial" w:cs="Arial"/>
          <w:color w:val="000000"/>
          <w:sz w:val="20"/>
          <w:szCs w:val="20"/>
        </w:rPr>
        <w:t xml:space="preserve">, draws on the data of the </w:t>
      </w:r>
      <w:r>
        <w:rPr>
          <w:rFonts w:ascii="Arial" w:hAnsi="Arial" w:cs="Arial"/>
          <w:color w:val="000000"/>
          <w:sz w:val="20"/>
          <w:szCs w:val="20"/>
        </w:rPr>
        <w:t xml:space="preserve">annual </w:t>
      </w:r>
      <w:r w:rsidRPr="004C3945">
        <w:rPr>
          <w:rFonts w:ascii="Arial" w:hAnsi="Arial" w:cs="Arial"/>
          <w:color w:val="000000"/>
          <w:sz w:val="20"/>
          <w:szCs w:val="20"/>
        </w:rPr>
        <w:t xml:space="preserve">global </w:t>
      </w:r>
      <w:r w:rsidRPr="004C3945">
        <w:rPr>
          <w:rFonts w:ascii="Arial" w:hAnsi="Arial" w:cs="Arial"/>
          <w:i/>
          <w:iCs/>
          <w:color w:val="000000"/>
          <w:sz w:val="20"/>
          <w:szCs w:val="20"/>
        </w:rPr>
        <w:t>Doing Business</w:t>
      </w:r>
      <w:r w:rsidRPr="004C3945">
        <w:rPr>
          <w:rFonts w:ascii="Arial" w:hAnsi="Arial" w:cs="Arial"/>
          <w:color w:val="000000"/>
          <w:sz w:val="20"/>
          <w:szCs w:val="20"/>
        </w:rPr>
        <w:t xml:space="preserve"> study and takes a detailed look at business regulations in Burundi, Kenya, Rwanda, Tanzania, and Uganda.</w:t>
      </w:r>
    </w:p>
    <w:p w:rsidR="007612BB" w:rsidRPr="004C3945" w:rsidRDefault="007612BB" w:rsidP="004C3945">
      <w:pPr>
        <w:rPr>
          <w:rFonts w:ascii="Arial" w:hAnsi="Arial" w:cs="Arial"/>
          <w:color w:val="000000"/>
          <w:sz w:val="20"/>
          <w:szCs w:val="20"/>
        </w:rPr>
      </w:pPr>
    </w:p>
    <w:p w:rsidR="007612BB" w:rsidRPr="004C3945" w:rsidRDefault="007612BB" w:rsidP="004C3945">
      <w:pPr>
        <w:rPr>
          <w:rFonts w:ascii="Arial" w:hAnsi="Arial" w:cs="Arial"/>
          <w:color w:val="000000"/>
          <w:sz w:val="20"/>
          <w:szCs w:val="20"/>
        </w:rPr>
      </w:pPr>
      <w:r w:rsidRPr="004C3945">
        <w:rPr>
          <w:rFonts w:ascii="Arial" w:hAnsi="Arial" w:cs="Arial"/>
          <w:color w:val="000000"/>
          <w:sz w:val="20"/>
          <w:szCs w:val="20"/>
        </w:rPr>
        <w:t xml:space="preserve">East African economies are at different stages of regulatory reform. The average ranking for </w:t>
      </w:r>
      <w:r>
        <w:rPr>
          <w:rFonts w:ascii="Arial" w:hAnsi="Arial" w:cs="Arial"/>
          <w:color w:val="000000"/>
          <w:sz w:val="20"/>
          <w:szCs w:val="20"/>
        </w:rPr>
        <w:t>those</w:t>
      </w:r>
      <w:r w:rsidRPr="004C3945">
        <w:rPr>
          <w:rFonts w:ascii="Arial" w:hAnsi="Arial" w:cs="Arial"/>
          <w:color w:val="000000"/>
          <w:sz w:val="20"/>
          <w:szCs w:val="20"/>
        </w:rPr>
        <w:t xml:space="preserve"> countries is 116</w:t>
      </w:r>
      <w:r w:rsidRPr="00F32B3F">
        <w:rPr>
          <w:rFonts w:ascii="Arial" w:hAnsi="Arial" w:cs="Arial"/>
          <w:color w:val="000000"/>
          <w:sz w:val="20"/>
          <w:szCs w:val="20"/>
          <w:vertAlign w:val="superscript"/>
        </w:rPr>
        <w:t>th</w:t>
      </w:r>
      <w:r w:rsidRPr="004C3945">
        <w:rPr>
          <w:rFonts w:ascii="Arial" w:hAnsi="Arial" w:cs="Arial"/>
          <w:color w:val="000000"/>
          <w:sz w:val="20"/>
          <w:szCs w:val="20"/>
        </w:rPr>
        <w:t xml:space="preserve"> out of 183 economies overall in the </w:t>
      </w:r>
      <w:r w:rsidRPr="004C3945">
        <w:rPr>
          <w:rFonts w:ascii="Arial" w:hAnsi="Arial" w:cs="Arial"/>
          <w:i/>
          <w:iCs/>
          <w:color w:val="000000"/>
          <w:sz w:val="20"/>
          <w:szCs w:val="20"/>
        </w:rPr>
        <w:t>Doing Business 2010</w:t>
      </w:r>
      <w:r w:rsidRPr="004C3945">
        <w:rPr>
          <w:rFonts w:ascii="Arial" w:hAnsi="Arial" w:cs="Arial"/>
          <w:color w:val="000000"/>
          <w:sz w:val="20"/>
          <w:szCs w:val="20"/>
        </w:rPr>
        <w:t xml:space="preserve"> report.  If each East African country were to adopt the region’s best practice for each </w:t>
      </w:r>
      <w:r w:rsidRPr="004C3945">
        <w:rPr>
          <w:rFonts w:ascii="Arial" w:hAnsi="Arial" w:cs="Arial"/>
          <w:i/>
          <w:iCs/>
          <w:color w:val="000000"/>
          <w:sz w:val="20"/>
          <w:szCs w:val="20"/>
        </w:rPr>
        <w:t>Doing Business</w:t>
      </w:r>
      <w:r w:rsidRPr="004C3945">
        <w:rPr>
          <w:rFonts w:ascii="Arial" w:hAnsi="Arial" w:cs="Arial"/>
          <w:color w:val="000000"/>
          <w:sz w:val="20"/>
          <w:szCs w:val="20"/>
        </w:rPr>
        <w:t xml:space="preserve"> indicator, East Africa would rank 12</w:t>
      </w:r>
      <w:r w:rsidRPr="004C3945">
        <w:rPr>
          <w:rFonts w:ascii="Arial" w:hAnsi="Arial" w:cs="Arial"/>
          <w:color w:val="000000"/>
          <w:sz w:val="20"/>
          <w:szCs w:val="20"/>
          <w:vertAlign w:val="superscript"/>
        </w:rPr>
        <w:t>th</w:t>
      </w:r>
      <w:r w:rsidRPr="004C3945">
        <w:rPr>
          <w:rFonts w:ascii="Arial" w:hAnsi="Arial" w:cs="Arial"/>
          <w:color w:val="000000"/>
          <w:sz w:val="20"/>
          <w:szCs w:val="20"/>
        </w:rPr>
        <w:t>.</w:t>
      </w:r>
    </w:p>
    <w:p w:rsidR="007612BB" w:rsidRPr="004C3945" w:rsidRDefault="007612BB" w:rsidP="004C3945">
      <w:pPr>
        <w:rPr>
          <w:rFonts w:ascii="Arial" w:hAnsi="Arial" w:cs="Arial"/>
          <w:color w:val="000000"/>
          <w:sz w:val="20"/>
          <w:szCs w:val="20"/>
        </w:rPr>
      </w:pPr>
    </w:p>
    <w:p w:rsidR="007612BB" w:rsidRPr="004C3945" w:rsidRDefault="007612BB" w:rsidP="004C3945">
      <w:pPr>
        <w:rPr>
          <w:rFonts w:ascii="Arial" w:hAnsi="Arial" w:cs="Arial"/>
          <w:color w:val="000000"/>
          <w:sz w:val="20"/>
          <w:szCs w:val="20"/>
        </w:rPr>
      </w:pPr>
      <w:r w:rsidRPr="004C3945">
        <w:rPr>
          <w:rFonts w:ascii="Arial" w:hAnsi="Arial" w:cs="Arial"/>
          <w:color w:val="000000"/>
          <w:sz w:val="20"/>
          <w:szCs w:val="20"/>
        </w:rPr>
        <w:t xml:space="preserve">“In times overshadowed by the global financial and economic crisis, business regulation can make an important difference for how easy it is to reorganize troubled firms to help them survive, to rebuild when demand rebounds, and to get new businesses started,” said Sylvia Solf, co-author of the report. </w:t>
      </w:r>
    </w:p>
    <w:p w:rsidR="007612BB" w:rsidRPr="004C3945" w:rsidRDefault="007612BB" w:rsidP="004C3945">
      <w:pPr>
        <w:autoSpaceDE w:val="0"/>
        <w:autoSpaceDN w:val="0"/>
        <w:adjustRightInd w:val="0"/>
        <w:rPr>
          <w:rFonts w:ascii="Arial" w:hAnsi="Arial" w:cs="Arial"/>
          <w:color w:val="000000"/>
          <w:sz w:val="20"/>
          <w:szCs w:val="20"/>
        </w:rPr>
      </w:pPr>
    </w:p>
    <w:p w:rsidR="007612BB" w:rsidRPr="004C3945" w:rsidRDefault="007612BB" w:rsidP="004C3945">
      <w:pPr>
        <w:rPr>
          <w:rFonts w:ascii="Arial" w:hAnsi="Arial" w:cs="Arial"/>
          <w:color w:val="000000"/>
          <w:sz w:val="20"/>
          <w:szCs w:val="20"/>
        </w:rPr>
      </w:pPr>
      <w:r w:rsidRPr="004C3945">
        <w:rPr>
          <w:rFonts w:ascii="Arial" w:hAnsi="Arial" w:cs="Arial"/>
          <w:color w:val="000000"/>
          <w:sz w:val="20"/>
          <w:szCs w:val="20"/>
        </w:rPr>
        <w:t>The East African Community is the regional intergovernmental organization of the economies studied in this report. In recent years EAC economies have worked to harmonize EAC Customs Union legislation and common market protocols while establishing peer-to-peer networks such as the Network of Reformers</w:t>
      </w:r>
      <w:r>
        <w:rPr>
          <w:rFonts w:ascii="Arial" w:hAnsi="Arial" w:cs="Arial"/>
          <w:color w:val="000000"/>
          <w:sz w:val="20"/>
          <w:szCs w:val="20"/>
        </w:rPr>
        <w:t>,</w:t>
      </w:r>
      <w:r w:rsidRPr="004C3945">
        <w:rPr>
          <w:rFonts w:ascii="Arial" w:hAnsi="Arial" w:cs="Arial"/>
          <w:color w:val="000000"/>
          <w:sz w:val="20"/>
          <w:szCs w:val="20"/>
        </w:rPr>
        <w:t xml:space="preserve"> based on similar models in the OECD and the European Union.  EAC countries are creating a common market scheduled to begin operating in July 2010.</w:t>
      </w:r>
    </w:p>
    <w:p w:rsidR="007612BB" w:rsidRPr="004C3945" w:rsidRDefault="007612BB" w:rsidP="004C3945">
      <w:pPr>
        <w:autoSpaceDE w:val="0"/>
        <w:autoSpaceDN w:val="0"/>
        <w:adjustRightInd w:val="0"/>
        <w:rPr>
          <w:rFonts w:ascii="Arial" w:hAnsi="Arial" w:cs="Arial"/>
          <w:color w:val="000000"/>
          <w:sz w:val="20"/>
          <w:szCs w:val="20"/>
        </w:rPr>
      </w:pPr>
    </w:p>
    <w:p w:rsidR="007612BB" w:rsidRPr="004C3945" w:rsidRDefault="007612BB" w:rsidP="004C3945">
      <w:pPr>
        <w:rPr>
          <w:rFonts w:ascii="Arial" w:hAnsi="Arial" w:cs="Arial"/>
          <w:color w:val="000000"/>
          <w:sz w:val="20"/>
          <w:szCs w:val="20"/>
        </w:rPr>
      </w:pPr>
      <w:r w:rsidRPr="004C3945">
        <w:rPr>
          <w:rFonts w:ascii="Arial" w:hAnsi="Arial" w:cs="Arial"/>
          <w:color w:val="000000"/>
          <w:sz w:val="20"/>
          <w:szCs w:val="20"/>
        </w:rPr>
        <w:t xml:space="preserve">“A key objective of the EAC is to develop an effective common market. The report provides a good </w:t>
      </w:r>
      <w:r w:rsidR="00ED1046">
        <w:rPr>
          <w:rFonts w:ascii="Arial" w:hAnsi="Arial" w:cs="Arial"/>
          <w:color w:val="000000"/>
          <w:sz w:val="20"/>
          <w:szCs w:val="20"/>
        </w:rPr>
        <w:t xml:space="preserve">basis </w:t>
      </w:r>
      <w:r w:rsidRPr="004C3945">
        <w:rPr>
          <w:rFonts w:ascii="Arial" w:hAnsi="Arial" w:cs="Arial"/>
          <w:color w:val="000000"/>
          <w:sz w:val="20"/>
          <w:szCs w:val="20"/>
        </w:rPr>
        <w:t>for comparing regulatory performance across the region, and how this contributes to deeper regional integration</w:t>
      </w:r>
      <w:r>
        <w:rPr>
          <w:rFonts w:ascii="Arial" w:hAnsi="Arial" w:cs="Arial"/>
          <w:color w:val="000000"/>
          <w:sz w:val="20"/>
          <w:szCs w:val="20"/>
        </w:rPr>
        <w:t>,</w:t>
      </w:r>
      <w:r w:rsidRPr="004C3945">
        <w:rPr>
          <w:rFonts w:ascii="Arial" w:hAnsi="Arial" w:cs="Arial"/>
          <w:color w:val="000000"/>
          <w:sz w:val="20"/>
          <w:szCs w:val="20"/>
        </w:rPr>
        <w:t xml:space="preserve">” said </w:t>
      </w:r>
      <w:proofErr w:type="spellStart"/>
      <w:r w:rsidRPr="004C3945">
        <w:rPr>
          <w:rFonts w:ascii="Arial" w:hAnsi="Arial" w:cs="Arial"/>
          <w:color w:val="000000"/>
          <w:sz w:val="20"/>
          <w:szCs w:val="20"/>
        </w:rPr>
        <w:t>Juma</w:t>
      </w:r>
      <w:proofErr w:type="spellEnd"/>
      <w:r w:rsidRPr="004C3945">
        <w:rPr>
          <w:rFonts w:ascii="Arial" w:hAnsi="Arial" w:cs="Arial"/>
          <w:color w:val="000000"/>
          <w:sz w:val="20"/>
          <w:szCs w:val="20"/>
        </w:rPr>
        <w:t xml:space="preserve"> </w:t>
      </w:r>
      <w:proofErr w:type="spellStart"/>
      <w:r w:rsidRPr="004C3945">
        <w:rPr>
          <w:rFonts w:ascii="Arial" w:hAnsi="Arial" w:cs="Arial"/>
          <w:color w:val="000000"/>
          <w:sz w:val="20"/>
          <w:szCs w:val="20"/>
        </w:rPr>
        <w:t>Mwapachu</w:t>
      </w:r>
      <w:proofErr w:type="spellEnd"/>
      <w:r w:rsidRPr="004C3945">
        <w:rPr>
          <w:rFonts w:ascii="Arial" w:hAnsi="Arial" w:cs="Arial"/>
          <w:color w:val="000000"/>
          <w:sz w:val="20"/>
          <w:szCs w:val="20"/>
        </w:rPr>
        <w:t xml:space="preserve">, Secretary General of the EAC Secretariat.  </w:t>
      </w:r>
    </w:p>
    <w:p w:rsidR="007612BB" w:rsidRPr="004C3945" w:rsidRDefault="007612BB" w:rsidP="004C3945">
      <w:pPr>
        <w:autoSpaceDE w:val="0"/>
        <w:autoSpaceDN w:val="0"/>
        <w:adjustRightInd w:val="0"/>
        <w:rPr>
          <w:rFonts w:ascii="Arial" w:hAnsi="Arial" w:cs="Arial"/>
          <w:color w:val="000000"/>
          <w:sz w:val="20"/>
          <w:szCs w:val="20"/>
        </w:rPr>
      </w:pPr>
    </w:p>
    <w:p w:rsidR="007612BB" w:rsidRPr="004C3945" w:rsidRDefault="007612BB" w:rsidP="004C3945">
      <w:pPr>
        <w:rPr>
          <w:rFonts w:ascii="Arial" w:hAnsi="Arial" w:cs="Arial"/>
          <w:color w:val="000000"/>
          <w:sz w:val="20"/>
          <w:szCs w:val="20"/>
        </w:rPr>
      </w:pPr>
      <w:r w:rsidRPr="004C3945">
        <w:rPr>
          <w:rFonts w:ascii="Arial" w:hAnsi="Arial" w:cs="Arial"/>
          <w:i/>
          <w:iCs/>
          <w:color w:val="000000"/>
          <w:sz w:val="20"/>
          <w:szCs w:val="20"/>
        </w:rPr>
        <w:t xml:space="preserve">Doing Business in the East African Community 2010 </w:t>
      </w:r>
      <w:r>
        <w:rPr>
          <w:rFonts w:ascii="Arial" w:hAnsi="Arial" w:cs="Arial"/>
          <w:color w:val="000000"/>
          <w:sz w:val="20"/>
          <w:szCs w:val="20"/>
        </w:rPr>
        <w:t>was</w:t>
      </w:r>
      <w:r w:rsidRPr="004C3945">
        <w:rPr>
          <w:rFonts w:ascii="Arial" w:hAnsi="Arial" w:cs="Arial"/>
          <w:color w:val="000000"/>
          <w:sz w:val="20"/>
          <w:szCs w:val="20"/>
        </w:rPr>
        <w:t xml:space="preserve"> prepared as part of the EAC Investment Climate Program supported by the World Bank Group and the United Kingdom’s Department for International Development. </w:t>
      </w:r>
    </w:p>
    <w:p w:rsidR="007612BB" w:rsidRPr="004C3945" w:rsidRDefault="007612BB" w:rsidP="004C3945">
      <w:pPr>
        <w:rPr>
          <w:rFonts w:ascii="Arial" w:hAnsi="Arial" w:cs="Arial"/>
          <w:color w:val="000000"/>
          <w:sz w:val="20"/>
          <w:szCs w:val="20"/>
        </w:rPr>
      </w:pPr>
    </w:p>
    <w:p w:rsidR="007612BB" w:rsidRPr="004C3945" w:rsidRDefault="007612BB" w:rsidP="004C3945">
      <w:pPr>
        <w:rPr>
          <w:rFonts w:ascii="Arial" w:hAnsi="Arial" w:cs="Arial"/>
          <w:color w:val="000000"/>
          <w:sz w:val="20"/>
          <w:szCs w:val="20"/>
        </w:rPr>
      </w:pPr>
      <w:r w:rsidRPr="004C3945">
        <w:rPr>
          <w:rFonts w:ascii="Arial" w:hAnsi="Arial" w:cs="Arial"/>
          <w:color w:val="000000"/>
          <w:sz w:val="20"/>
          <w:szCs w:val="20"/>
        </w:rPr>
        <w:t xml:space="preserve">“This report shows that within the borders of the </w:t>
      </w:r>
      <w:r>
        <w:rPr>
          <w:rFonts w:ascii="Arial" w:hAnsi="Arial" w:cs="Arial"/>
          <w:color w:val="000000"/>
          <w:sz w:val="20"/>
          <w:szCs w:val="20"/>
        </w:rPr>
        <w:t>East African C</w:t>
      </w:r>
      <w:r w:rsidRPr="004C3945">
        <w:rPr>
          <w:rFonts w:ascii="Arial" w:hAnsi="Arial" w:cs="Arial"/>
          <w:color w:val="000000"/>
          <w:sz w:val="20"/>
          <w:szCs w:val="20"/>
        </w:rPr>
        <w:t xml:space="preserve">ommunity, there is already </w:t>
      </w:r>
      <w:r>
        <w:rPr>
          <w:rFonts w:ascii="Arial" w:hAnsi="Arial" w:cs="Arial"/>
          <w:color w:val="000000"/>
          <w:sz w:val="20"/>
          <w:szCs w:val="20"/>
        </w:rPr>
        <w:t>excellent</w:t>
      </w:r>
      <w:r w:rsidRPr="004C3945">
        <w:rPr>
          <w:rFonts w:ascii="Arial" w:hAnsi="Arial" w:cs="Arial"/>
          <w:color w:val="000000"/>
          <w:sz w:val="20"/>
          <w:szCs w:val="20"/>
        </w:rPr>
        <w:t xml:space="preserve"> experience </w:t>
      </w:r>
      <w:r>
        <w:rPr>
          <w:rFonts w:ascii="Arial" w:hAnsi="Arial" w:cs="Arial"/>
          <w:color w:val="000000"/>
          <w:sz w:val="20"/>
          <w:szCs w:val="20"/>
        </w:rPr>
        <w:t>of</w:t>
      </w:r>
      <w:r w:rsidRPr="004C3945">
        <w:rPr>
          <w:rFonts w:ascii="Arial" w:hAnsi="Arial" w:cs="Arial"/>
          <w:color w:val="000000"/>
          <w:sz w:val="20"/>
          <w:szCs w:val="20"/>
        </w:rPr>
        <w:t xml:space="preserve"> innovative </w:t>
      </w:r>
      <w:r>
        <w:rPr>
          <w:rFonts w:ascii="Arial" w:hAnsi="Arial" w:cs="Arial"/>
          <w:color w:val="000000"/>
          <w:sz w:val="20"/>
          <w:szCs w:val="20"/>
        </w:rPr>
        <w:t>investment climate reform that</w:t>
      </w:r>
      <w:r w:rsidRPr="004C3945">
        <w:rPr>
          <w:rFonts w:ascii="Arial" w:hAnsi="Arial" w:cs="Arial"/>
          <w:color w:val="000000"/>
          <w:sz w:val="20"/>
          <w:szCs w:val="20"/>
        </w:rPr>
        <w:t xml:space="preserve"> ha</w:t>
      </w:r>
      <w:r>
        <w:rPr>
          <w:rFonts w:ascii="Arial" w:hAnsi="Arial" w:cs="Arial"/>
          <w:color w:val="000000"/>
          <w:sz w:val="20"/>
          <w:szCs w:val="20"/>
        </w:rPr>
        <w:t>s</w:t>
      </w:r>
      <w:r w:rsidRPr="004C3945">
        <w:rPr>
          <w:rFonts w:ascii="Arial" w:hAnsi="Arial" w:cs="Arial"/>
          <w:color w:val="000000"/>
          <w:sz w:val="20"/>
          <w:szCs w:val="20"/>
        </w:rPr>
        <w:t xml:space="preserve"> delivered tangible benefits.  EAC Countries can improve business regulation significantly just by implementing </w:t>
      </w:r>
      <w:r>
        <w:rPr>
          <w:rFonts w:ascii="Arial" w:hAnsi="Arial" w:cs="Arial"/>
          <w:color w:val="000000"/>
          <w:sz w:val="20"/>
          <w:szCs w:val="20"/>
        </w:rPr>
        <w:t>best practice</w:t>
      </w:r>
      <w:r w:rsidRPr="004C3945">
        <w:rPr>
          <w:rFonts w:ascii="Arial" w:hAnsi="Arial" w:cs="Arial"/>
          <w:color w:val="000000"/>
          <w:sz w:val="20"/>
          <w:szCs w:val="20"/>
        </w:rPr>
        <w:t xml:space="preserve"> already </w:t>
      </w:r>
      <w:r>
        <w:rPr>
          <w:rFonts w:ascii="Arial" w:hAnsi="Arial" w:cs="Arial"/>
          <w:color w:val="000000"/>
          <w:sz w:val="20"/>
          <w:szCs w:val="20"/>
        </w:rPr>
        <w:t>developed</w:t>
      </w:r>
      <w:r w:rsidRPr="004C3945">
        <w:rPr>
          <w:rFonts w:ascii="Arial" w:hAnsi="Arial" w:cs="Arial"/>
          <w:color w:val="000000"/>
          <w:sz w:val="20"/>
          <w:szCs w:val="20"/>
        </w:rPr>
        <w:t xml:space="preserve"> in the region</w:t>
      </w:r>
      <w:r>
        <w:rPr>
          <w:rFonts w:ascii="Arial" w:hAnsi="Arial" w:cs="Arial"/>
          <w:color w:val="000000"/>
          <w:sz w:val="20"/>
          <w:szCs w:val="20"/>
        </w:rPr>
        <w:t>,</w:t>
      </w:r>
      <w:r w:rsidRPr="004C3945">
        <w:rPr>
          <w:rFonts w:ascii="Arial" w:hAnsi="Arial" w:cs="Arial"/>
          <w:color w:val="000000"/>
          <w:sz w:val="20"/>
          <w:szCs w:val="20"/>
        </w:rPr>
        <w:t xml:space="preserve">” said </w:t>
      </w:r>
      <w:r>
        <w:rPr>
          <w:rFonts w:ascii="Arial" w:hAnsi="Arial" w:cs="Arial"/>
          <w:color w:val="000000"/>
          <w:sz w:val="20"/>
          <w:szCs w:val="20"/>
        </w:rPr>
        <w:t>Tim Lamont</w:t>
      </w:r>
      <w:r w:rsidRPr="004C3945">
        <w:rPr>
          <w:rFonts w:ascii="Arial" w:hAnsi="Arial" w:cs="Arial"/>
          <w:color w:val="000000"/>
          <w:sz w:val="20"/>
          <w:szCs w:val="20"/>
        </w:rPr>
        <w:t xml:space="preserve">, </w:t>
      </w:r>
      <w:r>
        <w:rPr>
          <w:rFonts w:ascii="Arial" w:hAnsi="Arial" w:cs="Arial"/>
          <w:color w:val="000000"/>
          <w:sz w:val="20"/>
          <w:szCs w:val="20"/>
        </w:rPr>
        <w:t>Regional Economist</w:t>
      </w:r>
      <w:r w:rsidRPr="004C3945">
        <w:rPr>
          <w:rFonts w:ascii="Arial" w:hAnsi="Arial" w:cs="Arial"/>
          <w:color w:val="000000"/>
          <w:sz w:val="20"/>
          <w:szCs w:val="20"/>
        </w:rPr>
        <w:t>, for DFID</w:t>
      </w:r>
      <w:r>
        <w:rPr>
          <w:rFonts w:ascii="Arial" w:hAnsi="Arial" w:cs="Arial"/>
          <w:color w:val="000000"/>
          <w:sz w:val="20"/>
          <w:szCs w:val="20"/>
        </w:rPr>
        <w:t xml:space="preserve">’s program in </w:t>
      </w:r>
      <w:r w:rsidRPr="004C3945">
        <w:rPr>
          <w:rFonts w:ascii="Arial" w:hAnsi="Arial" w:cs="Arial"/>
          <w:color w:val="000000"/>
          <w:sz w:val="20"/>
          <w:szCs w:val="20"/>
        </w:rPr>
        <w:t xml:space="preserve">East Africa. </w:t>
      </w:r>
    </w:p>
    <w:p w:rsidR="007612BB" w:rsidRPr="004C3945" w:rsidRDefault="007612BB" w:rsidP="004C3945">
      <w:pPr>
        <w:autoSpaceDE w:val="0"/>
        <w:autoSpaceDN w:val="0"/>
        <w:adjustRightInd w:val="0"/>
        <w:rPr>
          <w:rFonts w:ascii="Arial" w:hAnsi="Arial" w:cs="Arial"/>
          <w:color w:val="000000"/>
          <w:sz w:val="20"/>
          <w:szCs w:val="20"/>
        </w:rPr>
      </w:pPr>
    </w:p>
    <w:p w:rsidR="007612BB" w:rsidRPr="004C3945" w:rsidRDefault="007612BB" w:rsidP="004C3945">
      <w:pPr>
        <w:autoSpaceDE w:val="0"/>
        <w:autoSpaceDN w:val="0"/>
        <w:adjustRightInd w:val="0"/>
        <w:rPr>
          <w:rFonts w:ascii="Arial" w:hAnsi="Arial" w:cs="Arial"/>
          <w:color w:val="000000"/>
          <w:sz w:val="20"/>
          <w:szCs w:val="20"/>
        </w:rPr>
      </w:pPr>
      <w:r w:rsidRPr="004C3945">
        <w:rPr>
          <w:rFonts w:ascii="Arial" w:hAnsi="Arial" w:cs="Arial"/>
          <w:color w:val="000000"/>
          <w:sz w:val="20"/>
          <w:szCs w:val="20"/>
        </w:rPr>
        <w:t xml:space="preserve">For more information about the </w:t>
      </w:r>
      <w:r w:rsidRPr="004C3945">
        <w:rPr>
          <w:rFonts w:ascii="Arial" w:hAnsi="Arial" w:cs="Arial"/>
          <w:i/>
          <w:iCs/>
          <w:color w:val="000000"/>
          <w:sz w:val="20"/>
          <w:szCs w:val="20"/>
        </w:rPr>
        <w:t xml:space="preserve">Doing Business </w:t>
      </w:r>
      <w:r>
        <w:rPr>
          <w:rFonts w:ascii="Arial" w:hAnsi="Arial" w:cs="Arial"/>
          <w:color w:val="000000"/>
          <w:sz w:val="20"/>
          <w:szCs w:val="20"/>
        </w:rPr>
        <w:t>report series, visit</w:t>
      </w:r>
      <w:r w:rsidRPr="004C3945">
        <w:rPr>
          <w:rFonts w:ascii="Arial" w:hAnsi="Arial" w:cs="Arial"/>
          <w:color w:val="000000"/>
          <w:sz w:val="20"/>
          <w:szCs w:val="20"/>
        </w:rPr>
        <w:t xml:space="preserve"> www.doingbusiness.org.</w:t>
      </w:r>
      <w:r w:rsidRPr="004C3945">
        <w:rPr>
          <w:rFonts w:ascii="Arial" w:hAnsi="Arial" w:cs="Arial"/>
          <w:color w:val="000000"/>
          <w:sz w:val="20"/>
          <w:szCs w:val="20"/>
        </w:rPr>
        <w:tab/>
      </w:r>
    </w:p>
    <w:p w:rsidR="007612BB" w:rsidRPr="004C3945" w:rsidRDefault="007612BB" w:rsidP="004C3945">
      <w:pPr>
        <w:autoSpaceDE w:val="0"/>
        <w:autoSpaceDN w:val="0"/>
        <w:adjustRightInd w:val="0"/>
        <w:rPr>
          <w:rFonts w:ascii="Arial" w:hAnsi="Arial" w:cs="Arial"/>
          <w:color w:val="000000"/>
          <w:sz w:val="20"/>
          <w:szCs w:val="20"/>
        </w:rPr>
      </w:pPr>
    </w:p>
    <w:p w:rsidR="007612BB" w:rsidRPr="004C3945" w:rsidRDefault="007612BB" w:rsidP="004C3945">
      <w:pPr>
        <w:autoSpaceDE w:val="0"/>
        <w:autoSpaceDN w:val="0"/>
        <w:adjustRightInd w:val="0"/>
        <w:rPr>
          <w:rFonts w:ascii="Arial" w:hAnsi="Arial" w:cs="Arial"/>
          <w:b/>
          <w:bCs/>
          <w:sz w:val="20"/>
          <w:szCs w:val="20"/>
        </w:rPr>
      </w:pPr>
      <w:r w:rsidRPr="004C3945">
        <w:rPr>
          <w:rFonts w:ascii="Arial" w:hAnsi="Arial" w:cs="Arial"/>
          <w:b/>
          <w:bCs/>
          <w:sz w:val="20"/>
          <w:szCs w:val="20"/>
        </w:rPr>
        <w:t>About the World Bank Group</w:t>
      </w:r>
    </w:p>
    <w:p w:rsidR="007612BB" w:rsidRPr="007612BB" w:rsidRDefault="007612BB" w:rsidP="004C3945">
      <w:pPr>
        <w:autoSpaceDE w:val="0"/>
        <w:autoSpaceDN w:val="0"/>
        <w:adjustRightInd w:val="0"/>
        <w:spacing w:line="240" w:lineRule="atLeast"/>
        <w:rPr>
          <w:rFonts w:ascii="Arial" w:hAnsi="Arial" w:cs="Arial"/>
          <w:sz w:val="20"/>
          <w:szCs w:val="20"/>
          <w:lang w:val="en-GB"/>
        </w:rPr>
      </w:pPr>
      <w:r w:rsidRPr="004C3945">
        <w:rPr>
          <w:rFonts w:ascii="Arial" w:hAnsi="Arial" w:cs="Arial"/>
          <w:sz w:val="20"/>
          <w:szCs w:val="20"/>
        </w:rPr>
        <w:t xml:space="preserve">The World Bank Group is one of the world’s largest sources of funding and knowledge for developing countries. It comprises five closely associated institutions: the International Bank for Reconstruction and Development (IBRD) and the International Development Association (IDA), which together form the World Bank; the International Finance Corporation (IFC); the Multilateral Investment Guarantee Agency (MIGA); and the International Centre for Settlement of Investment Disputes (ICSID). Each institution plays a distinct role in the mission to fight poverty and improve living standards for people in the developing world. For more information, please visit www.worldbank.org, www.miga.org, and </w:t>
      </w:r>
      <w:hyperlink r:id="rId9" w:history="1">
        <w:r w:rsidRPr="004C3945">
          <w:rPr>
            <w:rStyle w:val="Hyperlink"/>
            <w:rFonts w:ascii="Arial" w:hAnsi="Arial" w:cs="Arial"/>
            <w:color w:val="auto"/>
            <w:sz w:val="20"/>
            <w:szCs w:val="20"/>
            <w:u w:val="none"/>
          </w:rPr>
          <w:t>www.ifc.org</w:t>
        </w:r>
      </w:hyperlink>
      <w:r w:rsidRPr="004C3945">
        <w:rPr>
          <w:rFonts w:ascii="Arial" w:hAnsi="Arial" w:cs="Arial"/>
          <w:sz w:val="20"/>
          <w:szCs w:val="20"/>
        </w:rPr>
        <w:t>.</w:t>
      </w:r>
      <w:r w:rsidRPr="006C23EF">
        <w:rPr>
          <w:rFonts w:ascii="Arial" w:hAnsi="Arial" w:cs="Arial"/>
          <w:sz w:val="20"/>
          <w:szCs w:val="20"/>
          <w:lang w:val="en-GB"/>
        </w:rPr>
        <w:tab/>
      </w:r>
      <w:r w:rsidRPr="006C23EF">
        <w:rPr>
          <w:rFonts w:ascii="Arial" w:hAnsi="Arial" w:cs="Arial"/>
          <w:sz w:val="20"/>
          <w:szCs w:val="20"/>
          <w:lang w:val="en-GB"/>
        </w:rPr>
        <w:tab/>
      </w:r>
      <w:r w:rsidRPr="006C23EF">
        <w:rPr>
          <w:rFonts w:ascii="Arial" w:hAnsi="Arial" w:cs="Arial"/>
          <w:sz w:val="20"/>
          <w:szCs w:val="20"/>
          <w:lang w:val="en-GB"/>
        </w:rPr>
        <w:tab/>
      </w:r>
      <w:r w:rsidR="003E1E9E" w:rsidRPr="003E1E9E">
        <w:rPr>
          <w:rFonts w:ascii="Arial" w:hAnsi="Arial" w:cs="Arial"/>
          <w:sz w:val="20"/>
          <w:szCs w:val="20"/>
          <w:lang w:val="en-GB"/>
        </w:rPr>
        <w:t xml:space="preserve"> </w:t>
      </w:r>
    </w:p>
    <w:p w:rsidR="007612BB" w:rsidRPr="007612BB" w:rsidRDefault="007612BB" w:rsidP="002A4D98">
      <w:pPr>
        <w:rPr>
          <w:rFonts w:ascii="Arial" w:hAnsi="Arial" w:cs="Arial"/>
          <w:lang w:val="en-GB"/>
        </w:rPr>
      </w:pPr>
    </w:p>
    <w:p w:rsidR="007612BB" w:rsidRDefault="007612BB"/>
    <w:sectPr w:rsidR="007612BB" w:rsidSect="00A06FB7">
      <w:pgSz w:w="12240" w:h="15840"/>
      <w:pgMar w:top="540" w:right="1440" w:bottom="9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D7" w:rsidRDefault="009F61D7" w:rsidP="00EF709F">
      <w:r>
        <w:separator/>
      </w:r>
    </w:p>
  </w:endnote>
  <w:endnote w:type="continuationSeparator" w:id="0">
    <w:p w:rsidR="009F61D7" w:rsidRDefault="009F61D7" w:rsidP="00EF7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D7" w:rsidRDefault="009F61D7" w:rsidP="00EF709F">
      <w:r>
        <w:separator/>
      </w:r>
    </w:p>
  </w:footnote>
  <w:footnote w:type="continuationSeparator" w:id="0">
    <w:p w:rsidR="009F61D7" w:rsidRDefault="009F61D7" w:rsidP="00EF7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2A4D98"/>
    <w:rsid w:val="0001152F"/>
    <w:rsid w:val="001015B7"/>
    <w:rsid w:val="00127B22"/>
    <w:rsid w:val="00187B47"/>
    <w:rsid w:val="00232B7C"/>
    <w:rsid w:val="00243830"/>
    <w:rsid w:val="00263155"/>
    <w:rsid w:val="002A4D98"/>
    <w:rsid w:val="002B165D"/>
    <w:rsid w:val="002E338D"/>
    <w:rsid w:val="003655A3"/>
    <w:rsid w:val="00394502"/>
    <w:rsid w:val="00395D6D"/>
    <w:rsid w:val="003E1E9E"/>
    <w:rsid w:val="004C3945"/>
    <w:rsid w:val="004D1EBE"/>
    <w:rsid w:val="005002F7"/>
    <w:rsid w:val="00535B2A"/>
    <w:rsid w:val="006C23EF"/>
    <w:rsid w:val="00704914"/>
    <w:rsid w:val="007612BB"/>
    <w:rsid w:val="00770947"/>
    <w:rsid w:val="007A4FC6"/>
    <w:rsid w:val="007B019D"/>
    <w:rsid w:val="009B788B"/>
    <w:rsid w:val="009F61D7"/>
    <w:rsid w:val="00A06FB7"/>
    <w:rsid w:val="00A619DD"/>
    <w:rsid w:val="00A72A31"/>
    <w:rsid w:val="00A84431"/>
    <w:rsid w:val="00AF6199"/>
    <w:rsid w:val="00B0173C"/>
    <w:rsid w:val="00BA1048"/>
    <w:rsid w:val="00BA7D6F"/>
    <w:rsid w:val="00BC5645"/>
    <w:rsid w:val="00C048F8"/>
    <w:rsid w:val="00C25215"/>
    <w:rsid w:val="00C762EF"/>
    <w:rsid w:val="00C77D20"/>
    <w:rsid w:val="00C96835"/>
    <w:rsid w:val="00D42BE0"/>
    <w:rsid w:val="00DD0D92"/>
    <w:rsid w:val="00E118F2"/>
    <w:rsid w:val="00E334BD"/>
    <w:rsid w:val="00E910C9"/>
    <w:rsid w:val="00EA26E0"/>
    <w:rsid w:val="00ED1046"/>
    <w:rsid w:val="00EF709F"/>
    <w:rsid w:val="00F23FBB"/>
    <w:rsid w:val="00F32B3F"/>
    <w:rsid w:val="00F53AA3"/>
    <w:rsid w:val="00F9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9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4D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D98"/>
    <w:rPr>
      <w:rFonts w:ascii="Tahoma" w:hAnsi="Tahoma" w:cs="Tahoma"/>
      <w:sz w:val="16"/>
      <w:szCs w:val="16"/>
    </w:rPr>
  </w:style>
  <w:style w:type="paragraph" w:styleId="Header">
    <w:name w:val="header"/>
    <w:basedOn w:val="Normal"/>
    <w:link w:val="HeaderChar"/>
    <w:uiPriority w:val="99"/>
    <w:rsid w:val="002A4D98"/>
    <w:pPr>
      <w:tabs>
        <w:tab w:val="center" w:pos="4320"/>
        <w:tab w:val="right" w:pos="8640"/>
      </w:tabs>
    </w:pPr>
  </w:style>
  <w:style w:type="character" w:customStyle="1" w:styleId="HeaderChar">
    <w:name w:val="Header Char"/>
    <w:basedOn w:val="DefaultParagraphFont"/>
    <w:link w:val="Header"/>
    <w:uiPriority w:val="99"/>
    <w:locked/>
    <w:rsid w:val="002A4D98"/>
    <w:rPr>
      <w:rFonts w:ascii="Times New Roman" w:hAnsi="Times New Roman" w:cs="Times New Roman"/>
      <w:sz w:val="24"/>
      <w:szCs w:val="24"/>
    </w:rPr>
  </w:style>
  <w:style w:type="character" w:styleId="Hyperlink">
    <w:name w:val="Hyperlink"/>
    <w:basedOn w:val="DefaultParagraphFont"/>
    <w:uiPriority w:val="99"/>
    <w:rsid w:val="002A4D98"/>
    <w:rPr>
      <w:rFonts w:ascii="Verdana" w:hAnsi="Verdana" w:cs="Verdana"/>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foriatta@ifc.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2953</Characters>
  <Application>Microsoft Office Word</Application>
  <DocSecurity>0</DocSecurity>
  <Lines>24</Lines>
  <Paragraphs>6</Paragraphs>
  <ScaleCrop>false</ScaleCrop>
  <Company>The World Bank Group</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Zand</dc:creator>
  <cp:lastModifiedBy>Yasmin Zand</cp:lastModifiedBy>
  <cp:revision>6</cp:revision>
  <dcterms:created xsi:type="dcterms:W3CDTF">2010-05-19T16:17:00Z</dcterms:created>
  <dcterms:modified xsi:type="dcterms:W3CDTF">2010-05-21T14:17:00Z</dcterms:modified>
</cp:coreProperties>
</file>