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4C" w:rsidRDefault="00DE574C">
      <w:pPr>
        <w:spacing w:line="240" w:lineRule="auto"/>
      </w:pPr>
    </w:p>
    <w:p w:rsidR="00DE574C" w:rsidRDefault="00DE574C">
      <w:pPr>
        <w:autoSpaceDE w:val="0"/>
        <w:autoSpaceDN w:val="0"/>
        <w:adjustRightInd w:val="0"/>
        <w:jc w:val="both"/>
        <w:rPr>
          <w:rFonts w:ascii="Arial" w:hAnsi="Arial" w:cs="Arial"/>
          <w:b/>
        </w:rPr>
      </w:pPr>
    </w:p>
    <w:p w:rsidR="00DE574C" w:rsidRDefault="00DE574C">
      <w:pPr>
        <w:autoSpaceDE w:val="0"/>
        <w:autoSpaceDN w:val="0"/>
        <w:adjustRightInd w:val="0"/>
        <w:jc w:val="both"/>
        <w:rPr>
          <w:rFonts w:ascii="Arial" w:hAnsi="Arial" w:cs="Arial"/>
          <w:b/>
          <w:bCs/>
        </w:rPr>
        <w:sectPr w:rsidR="00DE574C">
          <w:headerReference w:type="default" r:id="rId7"/>
          <w:footerReference w:type="even" r:id="rId8"/>
          <w:headerReference w:type="first" r:id="rId9"/>
          <w:pgSz w:w="11907" w:h="16839"/>
          <w:pgMar w:top="1890" w:right="850" w:bottom="1411" w:left="1170" w:header="360" w:footer="562" w:gutter="0"/>
          <w:cols w:space="708"/>
          <w:titlePg/>
          <w:docGrid w:linePitch="360"/>
        </w:sectPr>
      </w:pPr>
    </w:p>
    <w:p w:rsidR="00DE574C" w:rsidRDefault="00C57CD0">
      <w:pPr>
        <w:autoSpaceDE w:val="0"/>
        <w:autoSpaceDN w:val="0"/>
        <w:adjustRightInd w:val="0"/>
        <w:jc w:val="both"/>
        <w:rPr>
          <w:rFonts w:ascii="Arial" w:hAnsi="Arial" w:cs="Arial"/>
          <w:b/>
          <w:bCs/>
        </w:rPr>
      </w:pPr>
      <w:r>
        <w:rPr>
          <w:rFonts w:ascii="Arial" w:hAnsi="Arial" w:cs="Arial"/>
          <w:b/>
          <w:bCs/>
        </w:rPr>
        <w:lastRenderedPageBreak/>
        <w:t>In New York:</w:t>
      </w:r>
    </w:p>
    <w:p w:rsidR="00DE574C" w:rsidRDefault="00C57CD0">
      <w:pPr>
        <w:autoSpaceDE w:val="0"/>
        <w:autoSpaceDN w:val="0"/>
        <w:adjustRightInd w:val="0"/>
        <w:jc w:val="both"/>
        <w:rPr>
          <w:rFonts w:ascii="Arial" w:hAnsi="Arial" w:cs="Arial"/>
          <w:bCs/>
        </w:rPr>
      </w:pPr>
      <w:r>
        <w:rPr>
          <w:rFonts w:ascii="Arial" w:hAnsi="Arial" w:cs="Arial"/>
          <w:bCs/>
        </w:rPr>
        <w:t xml:space="preserve">Mike </w:t>
      </w:r>
      <w:proofErr w:type="spellStart"/>
      <w:r>
        <w:rPr>
          <w:rFonts w:ascii="Arial" w:hAnsi="Arial" w:cs="Arial"/>
          <w:bCs/>
        </w:rPr>
        <w:t>Ascolese</w:t>
      </w:r>
      <w:proofErr w:type="spellEnd"/>
      <w:r>
        <w:rPr>
          <w:rFonts w:ascii="Arial" w:hAnsi="Arial" w:cs="Arial"/>
          <w:bCs/>
        </w:rPr>
        <w:t>, PwC</w:t>
      </w:r>
    </w:p>
    <w:p w:rsidR="00DE574C" w:rsidRDefault="00C57CD0">
      <w:pPr>
        <w:autoSpaceDE w:val="0"/>
        <w:autoSpaceDN w:val="0"/>
        <w:adjustRightInd w:val="0"/>
        <w:jc w:val="both"/>
        <w:rPr>
          <w:rFonts w:ascii="Arial" w:hAnsi="Arial" w:cs="Arial"/>
          <w:color w:val="000000"/>
          <w:szCs w:val="20"/>
        </w:rPr>
      </w:pPr>
      <w:r>
        <w:rPr>
          <w:rFonts w:ascii="Arial" w:hAnsi="Arial" w:cs="Arial"/>
          <w:bCs/>
        </w:rPr>
        <w:t xml:space="preserve">Phone: </w:t>
      </w:r>
      <w:r>
        <w:rPr>
          <w:rFonts w:ascii="Arial" w:hAnsi="Arial" w:cs="Arial"/>
          <w:color w:val="000000"/>
          <w:szCs w:val="20"/>
        </w:rPr>
        <w:t>+1 (646) 471 8106</w:t>
      </w:r>
    </w:p>
    <w:p w:rsidR="00DE574C" w:rsidRDefault="00C57CD0">
      <w:pPr>
        <w:autoSpaceDE w:val="0"/>
        <w:autoSpaceDN w:val="0"/>
        <w:adjustRightInd w:val="0"/>
        <w:rPr>
          <w:rFonts w:ascii="Arial" w:hAnsi="Arial" w:cs="Arial"/>
          <w:color w:val="000000"/>
          <w:szCs w:val="20"/>
        </w:rPr>
      </w:pPr>
      <w:r>
        <w:rPr>
          <w:rFonts w:ascii="Arial" w:hAnsi="Arial" w:cs="Arial"/>
          <w:color w:val="000000"/>
          <w:szCs w:val="20"/>
        </w:rPr>
        <w:t xml:space="preserve">E-mail: </w:t>
      </w:r>
      <w:hyperlink r:id="rId10" w:history="1">
        <w:r>
          <w:rPr>
            <w:rStyle w:val="Hyperlink"/>
            <w:rFonts w:ascii="Arial" w:hAnsi="Arial" w:cs="Arial"/>
            <w:bCs/>
          </w:rPr>
          <w:t>mike.ascolese@us.pwc.com</w:t>
        </w:r>
      </w:hyperlink>
      <w:r>
        <w:rPr>
          <w:rFonts w:cs="Arial"/>
          <w:color w:val="000000"/>
          <w:lang w:val="it-IT"/>
        </w:rPr>
        <w:t xml:space="preserve"> </w:t>
      </w:r>
    </w:p>
    <w:p w:rsidR="00DE574C" w:rsidRDefault="00DE574C">
      <w:pPr>
        <w:autoSpaceDE w:val="0"/>
        <w:autoSpaceDN w:val="0"/>
        <w:adjustRightInd w:val="0"/>
        <w:jc w:val="both"/>
        <w:rPr>
          <w:rFonts w:ascii="Arial" w:hAnsi="Arial" w:cs="Arial"/>
          <w:b/>
        </w:rPr>
      </w:pPr>
    </w:p>
    <w:p w:rsidR="00DE574C" w:rsidRDefault="00C57CD0">
      <w:pPr>
        <w:autoSpaceDE w:val="0"/>
        <w:autoSpaceDN w:val="0"/>
        <w:adjustRightInd w:val="0"/>
        <w:jc w:val="both"/>
        <w:rPr>
          <w:rFonts w:ascii="Arial" w:hAnsi="Arial" w:cs="Arial"/>
          <w:b/>
        </w:rPr>
      </w:pPr>
      <w:r>
        <w:rPr>
          <w:rFonts w:ascii="Arial" w:hAnsi="Arial" w:cs="Arial"/>
          <w:b/>
        </w:rPr>
        <w:lastRenderedPageBreak/>
        <w:t>In Washington, D.C.:</w:t>
      </w:r>
      <w:r>
        <w:rPr>
          <w:rFonts w:ascii="Arial" w:hAnsi="Arial" w:cs="Arial"/>
          <w:b/>
        </w:rPr>
        <w:tab/>
      </w:r>
    </w:p>
    <w:p w:rsidR="00DE574C" w:rsidRDefault="00C57CD0">
      <w:pPr>
        <w:autoSpaceDE w:val="0"/>
        <w:autoSpaceDN w:val="0"/>
        <w:adjustRightInd w:val="0"/>
        <w:jc w:val="both"/>
        <w:rPr>
          <w:rFonts w:ascii="Arial" w:hAnsi="Arial" w:cs="Arial"/>
          <w:bCs/>
        </w:rPr>
      </w:pPr>
      <w:r>
        <w:rPr>
          <w:rFonts w:ascii="Arial" w:hAnsi="Arial" w:cs="Arial"/>
          <w:bCs/>
        </w:rPr>
        <w:t xml:space="preserve">Nadine </w:t>
      </w:r>
      <w:proofErr w:type="spellStart"/>
      <w:r>
        <w:rPr>
          <w:rFonts w:ascii="Arial" w:hAnsi="Arial" w:cs="Arial"/>
          <w:bCs/>
        </w:rPr>
        <w:t>Ghannam</w:t>
      </w:r>
      <w:proofErr w:type="spellEnd"/>
      <w:r>
        <w:rPr>
          <w:rFonts w:ascii="Arial" w:hAnsi="Arial" w:cs="Arial"/>
          <w:bCs/>
        </w:rPr>
        <w:t xml:space="preserve">, World Bank </w:t>
      </w:r>
      <w:r w:rsidR="007573A4">
        <w:rPr>
          <w:rFonts w:ascii="Arial" w:hAnsi="Arial" w:cs="Arial"/>
          <w:bCs/>
        </w:rPr>
        <w:t>and IFC</w:t>
      </w:r>
    </w:p>
    <w:p w:rsidR="00DE574C" w:rsidRDefault="00C57CD0">
      <w:pPr>
        <w:autoSpaceDE w:val="0"/>
        <w:autoSpaceDN w:val="0"/>
        <w:adjustRightInd w:val="0"/>
        <w:jc w:val="both"/>
        <w:rPr>
          <w:rFonts w:ascii="Arial" w:hAnsi="Arial" w:cs="Arial"/>
          <w:bCs/>
        </w:rPr>
      </w:pPr>
      <w:r>
        <w:rPr>
          <w:rFonts w:ascii="Arial" w:hAnsi="Arial" w:cs="Arial"/>
          <w:bCs/>
        </w:rPr>
        <w:t xml:space="preserve">Phone: </w:t>
      </w:r>
      <w:r>
        <w:rPr>
          <w:rFonts w:ascii="Arial" w:hAnsi="Arial" w:cs="Arial"/>
          <w:color w:val="000000"/>
          <w:szCs w:val="20"/>
        </w:rPr>
        <w:t>+1 (202) 473-3011</w:t>
      </w:r>
    </w:p>
    <w:p w:rsidR="00DE574C" w:rsidRDefault="00C57CD0">
      <w:pPr>
        <w:autoSpaceDE w:val="0"/>
        <w:autoSpaceDN w:val="0"/>
        <w:adjustRightInd w:val="0"/>
        <w:rPr>
          <w:rFonts w:ascii="Arial" w:hAnsi="Arial" w:cs="Arial"/>
          <w:bCs/>
        </w:rPr>
        <w:sectPr w:rsidR="00DE574C">
          <w:type w:val="continuous"/>
          <w:pgSz w:w="11907" w:h="16839"/>
          <w:pgMar w:top="1890" w:right="850" w:bottom="1411" w:left="1170" w:header="360" w:footer="562" w:gutter="0"/>
          <w:cols w:num="2" w:space="708"/>
          <w:titlePg/>
          <w:docGrid w:linePitch="360"/>
        </w:sectPr>
      </w:pPr>
      <w:r>
        <w:rPr>
          <w:rFonts w:ascii="Arial" w:hAnsi="Arial" w:cs="Arial"/>
          <w:bCs/>
        </w:rPr>
        <w:t xml:space="preserve">E-mail: </w:t>
      </w:r>
      <w:r w:rsidRPr="00C77853">
        <w:rPr>
          <w:rFonts w:ascii="Arial" w:hAnsi="Arial" w:cs="Arial"/>
          <w:bCs/>
        </w:rPr>
        <w:t>nsghannam@ifc.org</w:t>
      </w:r>
    </w:p>
    <w:p w:rsidR="00DE574C" w:rsidRDefault="00DE574C">
      <w:pPr>
        <w:tabs>
          <w:tab w:val="left" w:pos="0"/>
        </w:tabs>
        <w:rPr>
          <w:rFonts w:ascii="Arial" w:hAnsi="Arial" w:cs="Arial"/>
          <w:b/>
          <w:bCs/>
          <w:iCs/>
          <w:szCs w:val="20"/>
        </w:rPr>
      </w:pPr>
    </w:p>
    <w:p w:rsidR="00DE574C" w:rsidRDefault="00C57CD0">
      <w:pPr>
        <w:tabs>
          <w:tab w:val="left" w:pos="0"/>
        </w:tabs>
        <w:jc w:val="center"/>
        <w:rPr>
          <w:rFonts w:ascii="Arial" w:hAnsi="Arial" w:cs="Arial"/>
          <w:b/>
          <w:bCs/>
          <w:iCs/>
          <w:szCs w:val="20"/>
        </w:rPr>
      </w:pPr>
      <w:r>
        <w:rPr>
          <w:rFonts w:ascii="Arial" w:hAnsi="Arial" w:cs="Arial"/>
          <w:b/>
          <w:bCs/>
          <w:iCs/>
          <w:szCs w:val="20"/>
        </w:rPr>
        <w:t xml:space="preserve">Paying Taxes is Getting Easier </w:t>
      </w:r>
      <w:proofErr w:type="gramStart"/>
      <w:r>
        <w:rPr>
          <w:rFonts w:ascii="Arial" w:hAnsi="Arial" w:cs="Arial"/>
          <w:b/>
          <w:bCs/>
          <w:iCs/>
          <w:szCs w:val="20"/>
        </w:rPr>
        <w:t>Despite</w:t>
      </w:r>
      <w:proofErr w:type="gramEnd"/>
      <w:r>
        <w:rPr>
          <w:rFonts w:ascii="Arial" w:hAnsi="Arial" w:cs="Arial"/>
          <w:b/>
          <w:bCs/>
          <w:iCs/>
          <w:szCs w:val="20"/>
        </w:rPr>
        <w:t xml:space="preserve"> Economic Downturn</w:t>
      </w:r>
    </w:p>
    <w:p w:rsidR="00DE574C" w:rsidRDefault="00DE574C">
      <w:pPr>
        <w:rPr>
          <w:rFonts w:ascii="Arial" w:hAnsi="Arial" w:cs="Arial"/>
          <w:szCs w:val="20"/>
        </w:rPr>
      </w:pPr>
    </w:p>
    <w:p w:rsidR="00DE574C" w:rsidRDefault="00C57CD0">
      <w:pPr>
        <w:autoSpaceDE w:val="0"/>
        <w:autoSpaceDN w:val="0"/>
        <w:adjustRightInd w:val="0"/>
        <w:rPr>
          <w:rFonts w:ascii="Arial" w:hAnsi="Arial" w:cs="Arial"/>
          <w:szCs w:val="20"/>
        </w:rPr>
      </w:pPr>
      <w:r>
        <w:rPr>
          <w:rFonts w:ascii="Arial" w:hAnsi="Arial" w:cs="Arial"/>
          <w:b/>
          <w:szCs w:val="20"/>
        </w:rPr>
        <w:t>London, 18 November 2010—</w:t>
      </w:r>
      <w:proofErr w:type="gramStart"/>
      <w:r>
        <w:rPr>
          <w:rFonts w:ascii="Arial" w:hAnsi="Arial" w:cs="Arial"/>
          <w:szCs w:val="20"/>
        </w:rPr>
        <w:t>Nearly</w:t>
      </w:r>
      <w:proofErr w:type="gramEnd"/>
      <w:r>
        <w:rPr>
          <w:rFonts w:ascii="Arial" w:hAnsi="Arial" w:cs="Arial"/>
          <w:szCs w:val="20"/>
        </w:rPr>
        <w:t xml:space="preserve"> 60 percent of the world’s economies have made significant business regulatory changes to ease paying taxes, despite the impact of the downturn and the sluggish global recovery, </w:t>
      </w:r>
      <w:r w:rsidR="00B2286B">
        <w:rPr>
          <w:rFonts w:ascii="Arial" w:hAnsi="Arial" w:cs="Arial"/>
          <w:szCs w:val="20"/>
        </w:rPr>
        <w:t>according to</w:t>
      </w:r>
      <w:r>
        <w:rPr>
          <w:rFonts w:ascii="Arial" w:hAnsi="Arial" w:cs="Arial"/>
          <w:szCs w:val="20"/>
        </w:rPr>
        <w:t xml:space="preserve"> </w:t>
      </w:r>
      <w:r>
        <w:rPr>
          <w:rFonts w:ascii="Arial" w:hAnsi="Arial" w:cs="Arial"/>
          <w:i/>
          <w:szCs w:val="20"/>
        </w:rPr>
        <w:t xml:space="preserve">Paying Taxes 2011, </w:t>
      </w:r>
      <w:r>
        <w:rPr>
          <w:rFonts w:ascii="Arial" w:hAnsi="Arial" w:cs="Arial"/>
          <w:szCs w:val="20"/>
        </w:rPr>
        <w:t xml:space="preserve">a new report </w:t>
      </w:r>
      <w:r w:rsidR="00B2286B">
        <w:rPr>
          <w:rFonts w:ascii="Arial" w:hAnsi="Arial" w:cs="Arial"/>
          <w:szCs w:val="20"/>
        </w:rPr>
        <w:t xml:space="preserve">launched today </w:t>
      </w:r>
      <w:r>
        <w:rPr>
          <w:rFonts w:ascii="Arial" w:hAnsi="Arial" w:cs="Arial"/>
          <w:szCs w:val="20"/>
        </w:rPr>
        <w:t xml:space="preserve">by </w:t>
      </w:r>
      <w:r w:rsidR="00B2286B">
        <w:rPr>
          <w:rFonts w:ascii="Arial" w:hAnsi="Arial" w:cs="Arial"/>
          <w:szCs w:val="20"/>
        </w:rPr>
        <w:t xml:space="preserve">PwC, </w:t>
      </w:r>
      <w:r>
        <w:rPr>
          <w:rFonts w:ascii="Arial" w:hAnsi="Arial" w:cs="Arial"/>
          <w:szCs w:val="20"/>
        </w:rPr>
        <w:t xml:space="preserve">the World Bank, </w:t>
      </w:r>
      <w:r w:rsidR="00B2286B">
        <w:rPr>
          <w:rFonts w:ascii="Arial" w:hAnsi="Arial" w:cs="Arial"/>
          <w:szCs w:val="20"/>
        </w:rPr>
        <w:t xml:space="preserve">and </w:t>
      </w:r>
      <w:r>
        <w:rPr>
          <w:rFonts w:ascii="Arial" w:hAnsi="Arial" w:cs="Arial"/>
          <w:szCs w:val="20"/>
        </w:rPr>
        <w:t>IFC</w:t>
      </w:r>
      <w:r w:rsidR="00B2286B">
        <w:rPr>
          <w:rFonts w:ascii="Arial" w:hAnsi="Arial" w:cs="Arial"/>
          <w:szCs w:val="20"/>
        </w:rPr>
        <w:t>.</w:t>
      </w:r>
    </w:p>
    <w:p w:rsidR="00DE574C" w:rsidRDefault="00DE574C">
      <w:pPr>
        <w:autoSpaceDE w:val="0"/>
        <w:autoSpaceDN w:val="0"/>
        <w:adjustRightInd w:val="0"/>
        <w:rPr>
          <w:rFonts w:ascii="Arial" w:hAnsi="Arial" w:cs="Arial"/>
          <w:szCs w:val="20"/>
        </w:rPr>
      </w:pPr>
    </w:p>
    <w:p w:rsidR="00C77853" w:rsidRDefault="00B2286B">
      <w:pPr>
        <w:autoSpaceDE w:val="0"/>
        <w:autoSpaceDN w:val="0"/>
        <w:adjustRightInd w:val="0"/>
        <w:rPr>
          <w:rFonts w:ascii="Arial" w:hAnsi="Arial" w:cs="Arial"/>
          <w:szCs w:val="20"/>
        </w:rPr>
      </w:pPr>
      <w:r>
        <w:rPr>
          <w:rFonts w:ascii="Arial" w:hAnsi="Arial" w:cs="Arial"/>
          <w:szCs w:val="20"/>
        </w:rPr>
        <w:t>T</w:t>
      </w:r>
      <w:r w:rsidR="00C57CD0">
        <w:rPr>
          <w:rFonts w:ascii="Arial" w:hAnsi="Arial" w:cs="Arial"/>
          <w:szCs w:val="20"/>
        </w:rPr>
        <w:t>he report</w:t>
      </w:r>
      <w:r>
        <w:rPr>
          <w:rFonts w:ascii="Arial" w:hAnsi="Arial" w:cs="Arial"/>
          <w:szCs w:val="20"/>
        </w:rPr>
        <w:t>,</w:t>
      </w:r>
      <w:r w:rsidR="00C57CD0">
        <w:rPr>
          <w:rFonts w:ascii="Arial" w:hAnsi="Arial" w:cs="Arial"/>
          <w:szCs w:val="20"/>
        </w:rPr>
        <w:t xml:space="preserve"> which looks at 183 economies</w:t>
      </w:r>
      <w:r>
        <w:rPr>
          <w:rFonts w:ascii="Arial" w:hAnsi="Arial" w:cs="Arial"/>
          <w:szCs w:val="20"/>
        </w:rPr>
        <w:t>,</w:t>
      </w:r>
      <w:r w:rsidR="00C57CD0">
        <w:rPr>
          <w:rFonts w:ascii="Arial" w:hAnsi="Arial" w:cs="Arial"/>
          <w:szCs w:val="20"/>
        </w:rPr>
        <w:t xml:space="preserve"> finds </w:t>
      </w:r>
      <w:r w:rsidR="00F84E08">
        <w:rPr>
          <w:rFonts w:ascii="Arial" w:hAnsi="Arial" w:cs="Arial"/>
          <w:szCs w:val="20"/>
        </w:rPr>
        <w:t xml:space="preserve">that in </w:t>
      </w:r>
      <w:r w:rsidR="00C57CD0">
        <w:rPr>
          <w:rFonts w:ascii="Arial" w:hAnsi="Arial" w:cs="Arial"/>
          <w:szCs w:val="20"/>
        </w:rPr>
        <w:t>the past year, 40 economies have made it easier to pay taxes, with Tunisia improving the most.</w:t>
      </w:r>
      <w:r w:rsidR="00F84E08">
        <w:rPr>
          <w:rFonts w:ascii="Arial" w:hAnsi="Arial" w:cs="Arial"/>
          <w:szCs w:val="20"/>
        </w:rPr>
        <w:t xml:space="preserve"> </w:t>
      </w:r>
      <w:r w:rsidR="00C57CD0">
        <w:rPr>
          <w:rFonts w:ascii="Arial" w:hAnsi="Arial" w:cs="Arial"/>
          <w:szCs w:val="20"/>
        </w:rPr>
        <w:t xml:space="preserve">For economies </w:t>
      </w:r>
      <w:r w:rsidR="00F84E08">
        <w:rPr>
          <w:rFonts w:ascii="Arial" w:hAnsi="Arial" w:cs="Arial"/>
          <w:szCs w:val="20"/>
        </w:rPr>
        <w:t>that</w:t>
      </w:r>
      <w:r w:rsidR="00C57CD0">
        <w:rPr>
          <w:rFonts w:ascii="Arial" w:hAnsi="Arial" w:cs="Arial"/>
          <w:szCs w:val="20"/>
        </w:rPr>
        <w:t xml:space="preserve"> are included in both the 2006 and 2011 </w:t>
      </w:r>
      <w:r w:rsidR="00C57CD0">
        <w:rPr>
          <w:rFonts w:ascii="Arial" w:hAnsi="Arial" w:cs="Arial"/>
          <w:i/>
          <w:szCs w:val="20"/>
        </w:rPr>
        <w:t>Paying</w:t>
      </w:r>
      <w:r w:rsidR="00F84E08">
        <w:rPr>
          <w:rFonts w:ascii="Arial" w:hAnsi="Arial" w:cs="Arial"/>
          <w:i/>
          <w:szCs w:val="20"/>
        </w:rPr>
        <w:t xml:space="preserve"> </w:t>
      </w:r>
      <w:r w:rsidR="00C57CD0">
        <w:rPr>
          <w:rFonts w:ascii="Arial" w:hAnsi="Arial" w:cs="Arial"/>
          <w:i/>
          <w:szCs w:val="20"/>
        </w:rPr>
        <w:t>Taxes</w:t>
      </w:r>
      <w:r w:rsidR="00C57CD0">
        <w:rPr>
          <w:rFonts w:ascii="Arial" w:hAnsi="Arial" w:cs="Arial"/>
          <w:szCs w:val="20"/>
        </w:rPr>
        <w:t xml:space="preserve"> studies, the time needed to comply </w:t>
      </w:r>
      <w:r w:rsidR="00F84E08">
        <w:rPr>
          <w:rFonts w:ascii="Arial" w:hAnsi="Arial" w:cs="Arial"/>
          <w:szCs w:val="20"/>
        </w:rPr>
        <w:t xml:space="preserve">has declined </w:t>
      </w:r>
      <w:r w:rsidR="00C57CD0">
        <w:rPr>
          <w:rFonts w:ascii="Arial" w:hAnsi="Arial" w:cs="Arial"/>
          <w:szCs w:val="20"/>
        </w:rPr>
        <w:t xml:space="preserve">by a week, </w:t>
      </w:r>
      <w:r w:rsidR="00F84E08" w:rsidRPr="00F84E08">
        <w:rPr>
          <w:rFonts w:ascii="Arial" w:hAnsi="Arial" w:cs="Arial"/>
          <w:szCs w:val="20"/>
        </w:rPr>
        <w:t>the tax cost has fallen on average by 5</w:t>
      </w:r>
      <w:r w:rsidR="00F84E08">
        <w:rPr>
          <w:rFonts w:ascii="Arial" w:hAnsi="Arial" w:cs="Arial"/>
          <w:szCs w:val="20"/>
        </w:rPr>
        <w:t xml:space="preserve"> percent, and </w:t>
      </w:r>
      <w:r w:rsidR="00C57CD0">
        <w:rPr>
          <w:rFonts w:ascii="Arial" w:hAnsi="Arial" w:cs="Arial"/>
          <w:szCs w:val="20"/>
        </w:rPr>
        <w:t xml:space="preserve">the number of payments </w:t>
      </w:r>
      <w:r w:rsidR="00F84E08">
        <w:rPr>
          <w:rFonts w:ascii="Arial" w:hAnsi="Arial" w:cs="Arial"/>
          <w:szCs w:val="20"/>
        </w:rPr>
        <w:t xml:space="preserve">has dropped </w:t>
      </w:r>
      <w:r w:rsidR="00C57CD0">
        <w:rPr>
          <w:rFonts w:ascii="Arial" w:hAnsi="Arial" w:cs="Arial"/>
          <w:szCs w:val="20"/>
        </w:rPr>
        <w:t>by almost four.</w:t>
      </w:r>
      <w:r w:rsidR="00C77853">
        <w:rPr>
          <w:rFonts w:ascii="Arial" w:hAnsi="Arial" w:cs="Arial"/>
          <w:szCs w:val="20"/>
        </w:rPr>
        <w:t xml:space="preserve"> In all, </w:t>
      </w:r>
      <w:r w:rsidR="00C77853" w:rsidRPr="00C77853">
        <w:rPr>
          <w:rFonts w:ascii="Arial" w:hAnsi="Arial" w:cs="Arial"/>
          <w:szCs w:val="20"/>
        </w:rPr>
        <w:t>90 economies have reduced taxes on corporate profit</w:t>
      </w:r>
      <w:r w:rsidR="00C77853">
        <w:rPr>
          <w:rFonts w:ascii="Arial" w:hAnsi="Arial" w:cs="Arial"/>
          <w:szCs w:val="20"/>
        </w:rPr>
        <w:t>s since 2006.</w:t>
      </w:r>
    </w:p>
    <w:p w:rsidR="00DE574C" w:rsidRDefault="00DE574C">
      <w:pPr>
        <w:autoSpaceDE w:val="0"/>
        <w:autoSpaceDN w:val="0"/>
        <w:adjustRightInd w:val="0"/>
        <w:rPr>
          <w:rFonts w:ascii="Arial" w:hAnsi="Arial" w:cs="Arial"/>
          <w:szCs w:val="20"/>
        </w:rPr>
      </w:pPr>
    </w:p>
    <w:p w:rsidR="00DE574C" w:rsidRDefault="00C57CD0">
      <w:pPr>
        <w:autoSpaceDE w:val="0"/>
        <w:autoSpaceDN w:val="0"/>
        <w:adjustRightInd w:val="0"/>
        <w:rPr>
          <w:rFonts w:ascii="Arial" w:hAnsi="Arial" w:cs="Arial"/>
          <w:szCs w:val="20"/>
          <w:lang w:eastAsia="en-GB"/>
        </w:rPr>
      </w:pPr>
      <w:r>
        <w:rPr>
          <w:rFonts w:ascii="Arial" w:hAnsi="Arial" w:cs="Arial"/>
          <w:szCs w:val="20"/>
          <w:lang w:eastAsia="en-GB"/>
        </w:rPr>
        <w:t>“Governments have continued to improve and simplify their tax systems for local firms, and are seeing positive results,” said Neil Gregory, Director of the Global Indicators and Analysis department</w:t>
      </w:r>
      <w:r w:rsidR="00F84E08">
        <w:rPr>
          <w:rFonts w:ascii="Arial" w:hAnsi="Arial" w:cs="Arial"/>
          <w:szCs w:val="20"/>
          <w:lang w:eastAsia="en-GB"/>
        </w:rPr>
        <w:t xml:space="preserve"> at the</w:t>
      </w:r>
      <w:r>
        <w:rPr>
          <w:rFonts w:ascii="Arial" w:hAnsi="Arial" w:cs="Arial"/>
          <w:szCs w:val="20"/>
          <w:lang w:eastAsia="en-GB"/>
        </w:rPr>
        <w:t xml:space="preserve"> World Bank Group. “Best practices such as having one tax per tax base and the use of technology can simplify the compliance burden faced by firms.” </w:t>
      </w:r>
    </w:p>
    <w:p w:rsidR="00DE574C" w:rsidRDefault="00DE574C">
      <w:pPr>
        <w:autoSpaceDE w:val="0"/>
        <w:autoSpaceDN w:val="0"/>
        <w:adjustRightInd w:val="0"/>
        <w:rPr>
          <w:rFonts w:ascii="Arial" w:hAnsi="Arial" w:cs="Arial"/>
          <w:szCs w:val="20"/>
          <w:lang w:eastAsia="en-GB"/>
        </w:rPr>
      </w:pPr>
    </w:p>
    <w:p w:rsidR="00DE574C" w:rsidRDefault="00C57CD0">
      <w:pPr>
        <w:autoSpaceDE w:val="0"/>
        <w:autoSpaceDN w:val="0"/>
        <w:adjustRightInd w:val="0"/>
        <w:rPr>
          <w:rFonts w:ascii="Arial" w:hAnsi="Arial" w:cs="Arial"/>
          <w:szCs w:val="20"/>
        </w:rPr>
      </w:pPr>
      <w:r>
        <w:rPr>
          <w:rFonts w:ascii="Arial" w:hAnsi="Arial" w:cs="Arial"/>
          <w:szCs w:val="20"/>
        </w:rPr>
        <w:t xml:space="preserve">The </w:t>
      </w:r>
      <w:r>
        <w:rPr>
          <w:rFonts w:ascii="Arial" w:hAnsi="Arial" w:cs="Arial"/>
          <w:i/>
          <w:szCs w:val="20"/>
        </w:rPr>
        <w:t>Paying Taxes 2011</w:t>
      </w:r>
      <w:r>
        <w:rPr>
          <w:rFonts w:ascii="Arial" w:hAnsi="Arial" w:cs="Arial"/>
          <w:szCs w:val="20"/>
        </w:rPr>
        <w:t xml:space="preserve"> report measures the ease of paying taxes by assessing the administrative burden for companies to comply with tax </w:t>
      </w:r>
      <w:r w:rsidRPr="00C77853">
        <w:rPr>
          <w:rFonts w:ascii="Arial" w:hAnsi="Arial" w:cs="Arial"/>
          <w:szCs w:val="20"/>
        </w:rPr>
        <w:t>regulations</w:t>
      </w:r>
      <w:r>
        <w:rPr>
          <w:rFonts w:ascii="Arial" w:hAnsi="Arial" w:cs="Arial"/>
          <w:szCs w:val="20"/>
        </w:rPr>
        <w:t xml:space="preserve">, and by calculating companies’ total tax liability as a percentage of pre-tax profits. According to the study, the </w:t>
      </w:r>
      <w:r w:rsidR="00BA6357">
        <w:rPr>
          <w:rFonts w:ascii="Arial" w:hAnsi="Arial" w:cs="Arial"/>
          <w:szCs w:val="20"/>
        </w:rPr>
        <w:t xml:space="preserve">typical </w:t>
      </w:r>
      <w:r>
        <w:rPr>
          <w:rFonts w:ascii="Arial" w:hAnsi="Arial" w:cs="Arial"/>
          <w:szCs w:val="20"/>
        </w:rPr>
        <w:t xml:space="preserve">company measured pays nearly half of its commercial profit in taxes, spends seven weeks dealing with its tax affairs and makes a tax payment every 12 days. </w:t>
      </w:r>
    </w:p>
    <w:p w:rsidR="00DE574C" w:rsidRDefault="00DE574C">
      <w:pPr>
        <w:autoSpaceDE w:val="0"/>
        <w:autoSpaceDN w:val="0"/>
        <w:adjustRightInd w:val="0"/>
        <w:rPr>
          <w:rFonts w:ascii="Arial" w:hAnsi="Arial" w:cs="Arial"/>
          <w:szCs w:val="20"/>
        </w:rPr>
      </w:pPr>
    </w:p>
    <w:p w:rsidR="007573A4" w:rsidRDefault="007573A4">
      <w:pPr>
        <w:autoSpaceDE w:val="0"/>
        <w:autoSpaceDN w:val="0"/>
        <w:adjustRightInd w:val="0"/>
        <w:rPr>
          <w:rFonts w:ascii="Arial" w:hAnsi="Arial" w:cs="Arial"/>
          <w:szCs w:val="20"/>
        </w:rPr>
      </w:pPr>
      <w:r>
        <w:rPr>
          <w:rFonts w:ascii="Arial" w:hAnsi="Arial" w:cs="Arial"/>
          <w:color w:val="000000"/>
          <w:szCs w:val="20"/>
          <w:lang w:val="en-US"/>
        </w:rPr>
        <w:t>"Taxes on company profits have fallen each year as governments around the world have reduced their corporate tax rates in an effort to encourage business investment and stimulate growth</w:t>
      </w:r>
      <w:r w:rsidR="00F84E08">
        <w:rPr>
          <w:rFonts w:ascii="Arial" w:hAnsi="Arial" w:cs="Arial"/>
          <w:color w:val="000000"/>
          <w:szCs w:val="20"/>
          <w:lang w:val="en-US"/>
        </w:rPr>
        <w:t>,</w:t>
      </w:r>
      <w:r>
        <w:rPr>
          <w:rFonts w:ascii="Arial" w:hAnsi="Arial" w:cs="Arial"/>
          <w:color w:val="000000"/>
          <w:szCs w:val="20"/>
          <w:lang w:val="en-US"/>
        </w:rPr>
        <w:t>" said Susan Symons, Total Tax Contribution Leader, PwC UK. “However, easing the compliance burden is</w:t>
      </w:r>
      <w:r w:rsidRPr="00C77853">
        <w:rPr>
          <w:rFonts w:ascii="Arial" w:hAnsi="Arial" w:cs="Arial"/>
          <w:szCs w:val="20"/>
          <w:lang w:val="en-US"/>
        </w:rPr>
        <w:t xml:space="preserve"> also</w:t>
      </w:r>
      <w:r>
        <w:rPr>
          <w:rFonts w:ascii="Arial" w:hAnsi="Arial" w:cs="Arial"/>
          <w:color w:val="000000"/>
          <w:szCs w:val="20"/>
          <w:lang w:val="en-US"/>
        </w:rPr>
        <w:t xml:space="preserve"> important for business and there is potential for more focus on this area”.</w:t>
      </w:r>
    </w:p>
    <w:p w:rsidR="00DE574C" w:rsidRDefault="00DE574C">
      <w:pPr>
        <w:autoSpaceDE w:val="0"/>
        <w:autoSpaceDN w:val="0"/>
        <w:adjustRightInd w:val="0"/>
        <w:rPr>
          <w:rFonts w:ascii="Arial" w:hAnsi="Arial" w:cs="Arial"/>
          <w:szCs w:val="20"/>
        </w:rPr>
      </w:pPr>
    </w:p>
    <w:p w:rsidR="00DE574C" w:rsidRDefault="00C57CD0">
      <w:pPr>
        <w:autoSpaceDE w:val="0"/>
        <w:autoSpaceDN w:val="0"/>
        <w:adjustRightInd w:val="0"/>
        <w:rPr>
          <w:rFonts w:ascii="Arial" w:hAnsi="Arial" w:cs="Arial"/>
          <w:szCs w:val="20"/>
        </w:rPr>
      </w:pPr>
      <w:r>
        <w:rPr>
          <w:rFonts w:ascii="Arial" w:hAnsi="Arial" w:cs="Arial"/>
          <w:szCs w:val="20"/>
        </w:rPr>
        <w:t xml:space="preserve">The study shows that paying taxes is easiest for business in high-income economies </w:t>
      </w:r>
      <w:r w:rsidR="00C77853">
        <w:rPr>
          <w:rFonts w:ascii="Arial" w:hAnsi="Arial" w:cs="Arial"/>
          <w:szCs w:val="20"/>
        </w:rPr>
        <w:t>that</w:t>
      </w:r>
      <w:r>
        <w:rPr>
          <w:rFonts w:ascii="Arial" w:hAnsi="Arial" w:cs="Arial"/>
          <w:szCs w:val="20"/>
        </w:rPr>
        <w:t xml:space="preserve"> have the lowest tax cost and the lowest administrative burden. These economies tend to have more mature tax systems, a lighter administrative touch</w:t>
      </w:r>
      <w:r w:rsidR="00C77853">
        <w:rPr>
          <w:rFonts w:ascii="Arial" w:hAnsi="Arial" w:cs="Arial"/>
          <w:szCs w:val="20"/>
        </w:rPr>
        <w:t>,</w:t>
      </w:r>
      <w:r>
        <w:rPr>
          <w:rFonts w:ascii="Arial" w:hAnsi="Arial" w:cs="Arial"/>
          <w:szCs w:val="20"/>
        </w:rPr>
        <w:t xml:space="preserve"> and greater use of the electronic interface with tax authorities.</w:t>
      </w:r>
    </w:p>
    <w:p w:rsidR="00DE574C" w:rsidRDefault="00DE574C">
      <w:pPr>
        <w:autoSpaceDE w:val="0"/>
        <w:autoSpaceDN w:val="0"/>
        <w:adjustRightInd w:val="0"/>
        <w:rPr>
          <w:rFonts w:ascii="Arial" w:hAnsi="Arial" w:cs="Arial"/>
          <w:b/>
          <w:bCs/>
          <w:color w:val="000000"/>
          <w:szCs w:val="20"/>
        </w:rPr>
      </w:pPr>
    </w:p>
    <w:p w:rsidR="00DE574C" w:rsidRDefault="00C57CD0">
      <w:pPr>
        <w:autoSpaceDE w:val="0"/>
        <w:autoSpaceDN w:val="0"/>
        <w:adjustRightInd w:val="0"/>
        <w:rPr>
          <w:rFonts w:eastAsia="SimSun" w:cs="Arial"/>
          <w:bCs/>
          <w:szCs w:val="20"/>
          <w:lang w:eastAsia="zh-CN"/>
        </w:rPr>
      </w:pPr>
      <w:r>
        <w:rPr>
          <w:rFonts w:ascii="Arial" w:hAnsi="Arial" w:cs="Arial"/>
          <w:b/>
          <w:bCs/>
          <w:color w:val="000000"/>
          <w:szCs w:val="20"/>
        </w:rPr>
        <w:t>About PwC</w:t>
      </w:r>
    </w:p>
    <w:p w:rsidR="00DE574C" w:rsidRDefault="00C57CD0">
      <w:pPr>
        <w:rPr>
          <w:rFonts w:ascii="Arial" w:hAnsi="Arial" w:cs="Arial"/>
          <w:color w:val="000000"/>
          <w:szCs w:val="20"/>
        </w:rPr>
      </w:pPr>
      <w:r>
        <w:rPr>
          <w:rFonts w:ascii="Arial" w:hAnsi="Arial" w:cs="Arial"/>
          <w:color w:val="000000"/>
          <w:szCs w:val="20"/>
        </w:rPr>
        <w:t>PwC firms provide industry-focused assurance, tax and advisory services to enhance value for their clients. More than 161,000 people in 154 countries in firms across the PwC network share their thinking, experience and solutions to develop fresh perspectives and practical advice. See pwc.com for more information.</w:t>
      </w:r>
    </w:p>
    <w:p w:rsidR="00DE574C" w:rsidRDefault="00DE574C">
      <w:pPr>
        <w:rPr>
          <w:rFonts w:ascii="Arial" w:hAnsi="Arial" w:cs="Arial"/>
          <w:color w:val="000000"/>
          <w:szCs w:val="20"/>
        </w:rPr>
      </w:pPr>
    </w:p>
    <w:p w:rsidR="00017189" w:rsidRDefault="00017189" w:rsidP="00017189">
      <w:pPr>
        <w:rPr>
          <w:rFonts w:ascii="Arial" w:hAnsi="Arial" w:cs="Arial"/>
          <w:color w:val="000000"/>
          <w:szCs w:val="20"/>
        </w:rPr>
      </w:pPr>
      <w:r>
        <w:rPr>
          <w:rFonts w:ascii="Arial" w:hAnsi="Arial" w:cs="Arial"/>
          <w:color w:val="000000"/>
          <w:szCs w:val="20"/>
        </w:rPr>
        <w:t>'PwC' is the brand under which member firms of PricewaterhouseCoopers International Limited (</w:t>
      </w:r>
      <w:proofErr w:type="spellStart"/>
      <w:r>
        <w:rPr>
          <w:rFonts w:ascii="Arial" w:hAnsi="Arial" w:cs="Arial"/>
          <w:color w:val="000000"/>
          <w:szCs w:val="20"/>
        </w:rPr>
        <w:t>PwCIL</w:t>
      </w:r>
      <w:proofErr w:type="spellEnd"/>
      <w:r>
        <w:rPr>
          <w:rFonts w:ascii="Arial" w:hAnsi="Arial" w:cs="Arial"/>
          <w:color w:val="000000"/>
          <w:szCs w:val="20"/>
        </w:rPr>
        <w:t xml:space="preserve">) operate and provide services. Together, these firms form the PwC network. Each firm in the network is a separate legal entity and does not act as agent of </w:t>
      </w:r>
      <w:proofErr w:type="spellStart"/>
      <w:r>
        <w:rPr>
          <w:rFonts w:ascii="Arial" w:hAnsi="Arial" w:cs="Arial"/>
          <w:color w:val="000000"/>
          <w:szCs w:val="20"/>
        </w:rPr>
        <w:t>PwCIL</w:t>
      </w:r>
      <w:proofErr w:type="spellEnd"/>
      <w:r>
        <w:rPr>
          <w:rFonts w:ascii="Arial" w:hAnsi="Arial" w:cs="Arial"/>
          <w:color w:val="000000"/>
          <w:szCs w:val="20"/>
        </w:rPr>
        <w:t xml:space="preserve"> or any other member firm. </w:t>
      </w:r>
      <w:proofErr w:type="spellStart"/>
      <w:r>
        <w:rPr>
          <w:rFonts w:ascii="Arial" w:hAnsi="Arial" w:cs="Arial"/>
          <w:color w:val="000000"/>
          <w:szCs w:val="20"/>
        </w:rPr>
        <w:t>PwCIL</w:t>
      </w:r>
      <w:proofErr w:type="spellEnd"/>
      <w:r>
        <w:rPr>
          <w:rFonts w:ascii="Arial" w:hAnsi="Arial" w:cs="Arial"/>
          <w:color w:val="000000"/>
          <w:szCs w:val="20"/>
        </w:rPr>
        <w:t xml:space="preserve"> does not provide any services to clients. </w:t>
      </w:r>
      <w:proofErr w:type="spellStart"/>
      <w:r>
        <w:rPr>
          <w:rFonts w:ascii="Arial" w:hAnsi="Arial" w:cs="Arial"/>
          <w:color w:val="000000"/>
          <w:szCs w:val="20"/>
        </w:rPr>
        <w:t>PwCIL</w:t>
      </w:r>
      <w:proofErr w:type="spellEnd"/>
      <w:r>
        <w:rPr>
          <w:rFonts w:ascii="Arial" w:hAnsi="Arial" w:cs="Arial"/>
          <w:color w:val="000000"/>
          <w:szCs w:val="20"/>
        </w:rPr>
        <w:t xml:space="preserve"> is not responsible or liable for the acts or omissions of any of its member firms nor can it control the exercise of their professional judgment or bind them in any way.</w:t>
      </w:r>
    </w:p>
    <w:p w:rsidR="00017189" w:rsidRDefault="00017189">
      <w:pPr>
        <w:rPr>
          <w:rFonts w:ascii="Arial" w:hAnsi="Arial" w:cs="Arial"/>
          <w:color w:val="000000"/>
          <w:szCs w:val="20"/>
        </w:rPr>
      </w:pPr>
    </w:p>
    <w:p w:rsidR="00C77853" w:rsidRPr="00C77853" w:rsidRDefault="00C77853" w:rsidP="00C77853">
      <w:pPr>
        <w:rPr>
          <w:rFonts w:ascii="Arial" w:hAnsi="Arial" w:cs="Arial"/>
          <w:b/>
          <w:bCs/>
          <w:color w:val="000000"/>
          <w:szCs w:val="20"/>
        </w:rPr>
      </w:pPr>
      <w:r w:rsidRPr="00C77853">
        <w:rPr>
          <w:rFonts w:ascii="Arial" w:hAnsi="Arial" w:cs="Arial"/>
          <w:b/>
          <w:bCs/>
          <w:color w:val="000000"/>
          <w:szCs w:val="20"/>
        </w:rPr>
        <w:t>About the World Bank Group</w:t>
      </w:r>
    </w:p>
    <w:p w:rsidR="00C77853" w:rsidRPr="00C77853" w:rsidRDefault="00C77853" w:rsidP="00C77853">
      <w:pPr>
        <w:rPr>
          <w:rFonts w:ascii="Arial" w:hAnsi="Arial" w:cs="Arial"/>
          <w:color w:val="000000"/>
          <w:szCs w:val="20"/>
        </w:rPr>
      </w:pPr>
      <w:r w:rsidRPr="00C77853">
        <w:rPr>
          <w:rFonts w:ascii="Arial" w:hAnsi="Arial" w:cs="Arial"/>
          <w:color w:val="000000"/>
          <w:szCs w:val="20"/>
        </w:rPr>
        <w:t xml:space="preserve">The World Bank Group is one of the world’s largest sources of funding and knowledge for developing countries. It comprises five closely associated institutions: the International Bank for Reconstruction and Development (IBRD) and the International Development Association (IDA), the International Finance Corporation (IFC); the Multilateral Investment Guarantee Agency (MIGA); and the International Centre for Settlement of Investment </w:t>
      </w:r>
      <w:r w:rsidRPr="00C77853">
        <w:rPr>
          <w:rFonts w:ascii="Arial" w:hAnsi="Arial" w:cs="Arial"/>
          <w:color w:val="000000"/>
          <w:szCs w:val="20"/>
        </w:rPr>
        <w:lastRenderedPageBreak/>
        <w:t>Disputes (ICSID). Each institution plays a distinct role in the mission to fight poverty and improve living standards for people in the developing world. For more information, please visit www.worldbank.org, www.miga.org, and www.ifc.org.</w:t>
      </w:r>
    </w:p>
    <w:p w:rsidR="00DE574C" w:rsidRDefault="00DE574C">
      <w:pPr>
        <w:autoSpaceDE w:val="0"/>
        <w:autoSpaceDN w:val="0"/>
        <w:adjustRightInd w:val="0"/>
        <w:rPr>
          <w:rFonts w:eastAsia="SimSun" w:cs="Arial"/>
          <w:b/>
          <w:bCs/>
          <w:color w:val="000000"/>
          <w:szCs w:val="20"/>
          <w:lang w:eastAsia="zh-CN"/>
        </w:rPr>
      </w:pPr>
    </w:p>
    <w:p w:rsidR="00DE574C" w:rsidRDefault="00C57CD0">
      <w:pPr>
        <w:rPr>
          <w:rFonts w:ascii="Arial" w:hAnsi="Arial" w:cs="Arial"/>
          <w:color w:val="000000"/>
          <w:szCs w:val="20"/>
        </w:rPr>
      </w:pPr>
      <w:r>
        <w:rPr>
          <w:rFonts w:ascii="Arial" w:hAnsi="Arial" w:cs="Arial"/>
          <w:color w:val="000000"/>
          <w:szCs w:val="20"/>
        </w:rPr>
        <w:t xml:space="preserve">For more information about the </w:t>
      </w:r>
      <w:r>
        <w:rPr>
          <w:rFonts w:ascii="Arial" w:hAnsi="Arial" w:cs="Arial"/>
          <w:i/>
          <w:color w:val="000000"/>
          <w:szCs w:val="20"/>
        </w:rPr>
        <w:t xml:space="preserve">Doing Business </w:t>
      </w:r>
      <w:r>
        <w:rPr>
          <w:rFonts w:ascii="Arial" w:hAnsi="Arial" w:cs="Arial"/>
          <w:color w:val="000000"/>
          <w:szCs w:val="20"/>
        </w:rPr>
        <w:t>report series, visit www.doingbusiness.org</w:t>
      </w:r>
    </w:p>
    <w:p w:rsidR="00DE574C" w:rsidRDefault="00C57CD0" w:rsidP="00BA6357">
      <w:pPr>
        <w:rPr>
          <w:rFonts w:ascii="Arial" w:hAnsi="Arial" w:cs="Arial"/>
          <w:color w:val="000000"/>
          <w:szCs w:val="20"/>
        </w:rPr>
      </w:pPr>
      <w:r>
        <w:rPr>
          <w:rFonts w:ascii="Arial" w:eastAsia="SimSun" w:hAnsi="Arial" w:cs="Arial"/>
          <w:color w:val="000000"/>
          <w:szCs w:val="20"/>
          <w:lang w:eastAsia="zh-CN"/>
        </w:rPr>
        <w:t xml:space="preserve">For more information about </w:t>
      </w:r>
      <w:r>
        <w:rPr>
          <w:rFonts w:ascii="Arial" w:eastAsia="SimSun" w:hAnsi="Arial" w:cs="Arial"/>
          <w:i/>
          <w:iCs/>
          <w:color w:val="000000"/>
          <w:szCs w:val="20"/>
          <w:lang w:eastAsia="zh-CN"/>
        </w:rPr>
        <w:t>Paying Taxes</w:t>
      </w:r>
      <w:r>
        <w:rPr>
          <w:rFonts w:ascii="Arial" w:eastAsia="SimSun" w:hAnsi="Arial" w:cs="Arial"/>
          <w:color w:val="000000"/>
          <w:szCs w:val="20"/>
          <w:lang w:eastAsia="zh-CN"/>
        </w:rPr>
        <w:t xml:space="preserve">, visit </w:t>
      </w:r>
      <w:r>
        <w:rPr>
          <w:rFonts w:ascii="Arial" w:eastAsia="SimSun" w:hAnsi="Arial" w:cs="Arial"/>
          <w:szCs w:val="20"/>
          <w:lang w:eastAsia="zh-CN"/>
        </w:rPr>
        <w:t>www.pwc.com/payingtaxes</w:t>
      </w:r>
    </w:p>
    <w:sectPr w:rsidR="00DE574C" w:rsidSect="00DE574C">
      <w:type w:val="continuous"/>
      <w:pgSz w:w="11907" w:h="16839"/>
      <w:pgMar w:top="1890" w:right="850" w:bottom="1411" w:left="1170" w:header="360"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6F" w:rsidRDefault="003E276F">
      <w:pPr>
        <w:spacing w:line="240" w:lineRule="auto"/>
      </w:pPr>
      <w:r>
        <w:separator/>
      </w:r>
    </w:p>
  </w:endnote>
  <w:endnote w:type="continuationSeparator" w:id="0">
    <w:p w:rsidR="003E276F" w:rsidRDefault="003E27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4C" w:rsidRDefault="00DC5A96">
    <w:pPr>
      <w:pStyle w:val="Footer"/>
    </w:pPr>
    <w:fldSimple w:instr=" PAGE  \* MERGEFORMAT ">
      <w:r w:rsidR="0085115F">
        <w:rPr>
          <w:noProof/>
        </w:rPr>
        <w:t>2</w:t>
      </w:r>
    </w:fldSimple>
    <w:r w:rsidR="00C57CD0">
      <w:t xml:space="preserve"> of </w:t>
    </w:r>
    <w:fldSimple w:instr=" NUMPAGES  \* MERGEFORMAT ">
      <w:r w:rsidR="0085115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6F" w:rsidRDefault="003E276F">
      <w:pPr>
        <w:spacing w:line="240" w:lineRule="auto"/>
      </w:pPr>
      <w:r>
        <w:separator/>
      </w:r>
    </w:p>
  </w:footnote>
  <w:footnote w:type="continuationSeparator" w:id="0">
    <w:p w:rsidR="003E276F" w:rsidRDefault="003E27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4C" w:rsidRDefault="00FA5408">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E574C" w:rsidRDefault="00DE57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4C" w:rsidRDefault="00FA5408">
    <w:pPr>
      <w:pStyle w:val="Header"/>
    </w:pPr>
    <w:r>
      <w:rPr>
        <w:noProof/>
        <w:lang w:val="en-US"/>
      </w:rPr>
      <w:drawing>
        <wp:inline distT="0" distB="0" distL="0" distR="0">
          <wp:extent cx="6267450" cy="1000125"/>
          <wp:effectExtent l="19050" t="0" r="0" b="0"/>
          <wp:docPr id="1" name="Picture 12" desc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s.jpg"/>
                  <pic:cNvPicPr>
                    <a:picLocks noChangeAspect="1" noChangeArrowheads="1"/>
                  </pic:cNvPicPr>
                </pic:nvPicPr>
                <pic:blipFill>
                  <a:blip r:embed="rId1"/>
                  <a:srcRect t="13831" b="11345"/>
                  <a:stretch>
                    <a:fillRect/>
                  </a:stretch>
                </pic:blipFill>
                <pic:spPr bwMode="auto">
                  <a:xfrm>
                    <a:off x="0" y="0"/>
                    <a:ext cx="6267450" cy="1000125"/>
                  </a:xfrm>
                  <a:prstGeom prst="rect">
                    <a:avLst/>
                  </a:prstGeom>
                  <a:noFill/>
                  <a:ln w="9525">
                    <a:noFill/>
                    <a:miter lim="800000"/>
                    <a:headEnd/>
                    <a:tailEnd/>
                  </a:ln>
                </pic:spPr>
              </pic:pic>
            </a:graphicData>
          </a:graphic>
        </wp:inline>
      </w:drawing>
    </w:r>
    <w:r w:rsidR="00C57CD0">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evenAndOddHeaders/>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DE574C"/>
    <w:rsid w:val="00017189"/>
    <w:rsid w:val="00346A8C"/>
    <w:rsid w:val="003E276F"/>
    <w:rsid w:val="005E39AC"/>
    <w:rsid w:val="007573A4"/>
    <w:rsid w:val="00782E45"/>
    <w:rsid w:val="0085115F"/>
    <w:rsid w:val="00941C21"/>
    <w:rsid w:val="009D7B76"/>
    <w:rsid w:val="00B2286B"/>
    <w:rsid w:val="00BA6357"/>
    <w:rsid w:val="00C05472"/>
    <w:rsid w:val="00C200A8"/>
    <w:rsid w:val="00C57CD0"/>
    <w:rsid w:val="00C645AE"/>
    <w:rsid w:val="00C77853"/>
    <w:rsid w:val="00D76128"/>
    <w:rsid w:val="00DA4EEC"/>
    <w:rsid w:val="00DC5A96"/>
    <w:rsid w:val="00DE574C"/>
    <w:rsid w:val="00F84E08"/>
    <w:rsid w:val="00FA5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4C"/>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E574C"/>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574C"/>
    <w:rPr>
      <w:rFonts w:ascii="Cambria" w:hAnsi="Cambria" w:cs="Times New Roman"/>
      <w:b/>
      <w:bCs/>
      <w:kern w:val="32"/>
      <w:sz w:val="32"/>
      <w:szCs w:val="32"/>
    </w:rPr>
  </w:style>
  <w:style w:type="paragraph" w:styleId="Header">
    <w:name w:val="header"/>
    <w:basedOn w:val="Normal"/>
    <w:link w:val="HeaderChar"/>
    <w:uiPriority w:val="99"/>
    <w:semiHidden/>
    <w:rsid w:val="00DE574C"/>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E574C"/>
    <w:rPr>
      <w:rFonts w:cs="Times New Roman"/>
    </w:rPr>
  </w:style>
  <w:style w:type="paragraph" w:styleId="Footer">
    <w:name w:val="footer"/>
    <w:basedOn w:val="Normal"/>
    <w:link w:val="FooterChar"/>
    <w:uiPriority w:val="99"/>
    <w:semiHidden/>
    <w:rsid w:val="00DE574C"/>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E574C"/>
    <w:rPr>
      <w:rFonts w:cs="Times New Roman"/>
    </w:rPr>
  </w:style>
  <w:style w:type="paragraph" w:styleId="BodyText">
    <w:name w:val="Body Text"/>
    <w:basedOn w:val="Normal"/>
    <w:link w:val="BodyTextChar"/>
    <w:uiPriority w:val="99"/>
    <w:rsid w:val="00DE574C"/>
    <w:pPr>
      <w:spacing w:after="240"/>
    </w:pPr>
  </w:style>
  <w:style w:type="character" w:customStyle="1" w:styleId="BodyTextChar">
    <w:name w:val="Body Text Char"/>
    <w:basedOn w:val="DefaultParagraphFont"/>
    <w:link w:val="BodyText"/>
    <w:uiPriority w:val="99"/>
    <w:locked/>
    <w:rsid w:val="00DE574C"/>
    <w:rPr>
      <w:rFonts w:ascii="Georgia" w:hAnsi="Georgia" w:cs="Times New Roman"/>
      <w:sz w:val="20"/>
    </w:rPr>
  </w:style>
  <w:style w:type="paragraph" w:styleId="Title">
    <w:name w:val="Title"/>
    <w:basedOn w:val="Normal"/>
    <w:next w:val="Normal"/>
    <w:link w:val="TitleChar"/>
    <w:uiPriority w:val="99"/>
    <w:qFormat/>
    <w:rsid w:val="00DE574C"/>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E574C"/>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E574C"/>
    <w:pPr>
      <w:spacing w:line="200" w:lineRule="atLeast"/>
    </w:pPr>
    <w:rPr>
      <w:i/>
      <w:sz w:val="18"/>
    </w:rPr>
  </w:style>
  <w:style w:type="character" w:customStyle="1" w:styleId="AddressChar">
    <w:name w:val="Address Char"/>
    <w:basedOn w:val="DefaultParagraphFont"/>
    <w:link w:val="Address"/>
    <w:uiPriority w:val="99"/>
    <w:locked/>
    <w:rsid w:val="00DE574C"/>
    <w:rPr>
      <w:rFonts w:ascii="Georgia" w:hAnsi="Georgia" w:cs="Times New Roman"/>
      <w:i/>
      <w:sz w:val="18"/>
    </w:rPr>
  </w:style>
  <w:style w:type="paragraph" w:customStyle="1" w:styleId="Disclaimer">
    <w:name w:val="Disclaimer"/>
    <w:basedOn w:val="Normal"/>
    <w:link w:val="DisclaimerChar"/>
    <w:uiPriority w:val="99"/>
    <w:rsid w:val="00DE574C"/>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E574C"/>
    <w:rPr>
      <w:rFonts w:ascii="Arial" w:hAnsi="Arial" w:cs="Arial"/>
      <w:sz w:val="12"/>
    </w:rPr>
  </w:style>
  <w:style w:type="paragraph" w:styleId="BalloonText">
    <w:name w:val="Balloon Text"/>
    <w:basedOn w:val="Normal"/>
    <w:link w:val="BalloonTextChar"/>
    <w:uiPriority w:val="99"/>
    <w:semiHidden/>
    <w:rsid w:val="00DE57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74C"/>
    <w:rPr>
      <w:rFonts w:ascii="Tahoma" w:hAnsi="Tahoma" w:cs="Tahoma"/>
      <w:sz w:val="16"/>
      <w:szCs w:val="16"/>
      <w:lang w:eastAsia="en-US"/>
    </w:rPr>
  </w:style>
  <w:style w:type="character" w:styleId="Hyperlink">
    <w:name w:val="Hyperlink"/>
    <w:basedOn w:val="DefaultParagraphFont"/>
    <w:uiPriority w:val="99"/>
    <w:rsid w:val="00DE57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5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ke.ascolese@us.pwc.com"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88ED-84EE-4C90-AC0B-7723AD32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649</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4219</CharactersWithSpaces>
  <SharedDoc>false</SharedDoc>
  <HLinks>
    <vt:vector size="6" baseType="variant">
      <vt:variant>
        <vt:i4>3866648</vt:i4>
      </vt:variant>
      <vt:variant>
        <vt:i4>0</vt:i4>
      </vt:variant>
      <vt:variant>
        <vt:i4>0</vt:i4>
      </vt:variant>
      <vt:variant>
        <vt:i4>5</vt:i4>
      </vt:variant>
      <vt:variant>
        <vt:lpwstr>mailto:mike.ascolese@us.pwc.com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wb249358</cp:lastModifiedBy>
  <cp:revision>3</cp:revision>
  <cp:lastPrinted>2010-11-08T18:00:00Z</cp:lastPrinted>
  <dcterms:created xsi:type="dcterms:W3CDTF">2010-11-17T20:17:00Z</dcterms:created>
  <dcterms:modified xsi:type="dcterms:W3CDTF">2010-11-17T20:24:00Z</dcterms:modified>
</cp:coreProperties>
</file>