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58" w:rsidRDefault="005F2158" w:rsidP="00C42AA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42AAE" w:rsidRPr="00C42AAE" w:rsidRDefault="00C42AAE" w:rsidP="00C42AA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42AAE">
        <w:rPr>
          <w:rFonts w:ascii="Arial" w:hAnsi="Arial" w:cs="Arial"/>
          <w:b/>
          <w:sz w:val="20"/>
          <w:szCs w:val="20"/>
        </w:rPr>
        <w:t>In Washington, D.C.:</w:t>
      </w:r>
      <w:r w:rsidRPr="00C42AAE">
        <w:rPr>
          <w:rFonts w:ascii="Arial" w:hAnsi="Arial" w:cs="Arial"/>
          <w:b/>
          <w:sz w:val="20"/>
          <w:szCs w:val="20"/>
        </w:rPr>
        <w:tab/>
      </w:r>
      <w:r w:rsidRPr="00C42AAE">
        <w:rPr>
          <w:rFonts w:ascii="Arial" w:hAnsi="Arial" w:cs="Arial"/>
          <w:b/>
          <w:sz w:val="20"/>
          <w:szCs w:val="20"/>
        </w:rPr>
        <w:tab/>
      </w:r>
      <w:r w:rsidRPr="00C42AAE">
        <w:rPr>
          <w:rFonts w:ascii="Arial" w:hAnsi="Arial" w:cs="Arial"/>
          <w:b/>
          <w:sz w:val="20"/>
          <w:szCs w:val="20"/>
        </w:rPr>
        <w:tab/>
      </w:r>
      <w:r w:rsidRPr="00C42AAE">
        <w:rPr>
          <w:rFonts w:ascii="Arial" w:hAnsi="Arial" w:cs="Arial"/>
          <w:b/>
          <w:sz w:val="20"/>
          <w:szCs w:val="20"/>
        </w:rPr>
        <w:tab/>
      </w:r>
      <w:r w:rsidRPr="00C42AAE">
        <w:rPr>
          <w:rFonts w:ascii="Arial" w:hAnsi="Arial" w:cs="Arial"/>
          <w:b/>
          <w:sz w:val="20"/>
          <w:szCs w:val="20"/>
        </w:rPr>
        <w:tab/>
      </w:r>
      <w:r w:rsidRPr="00C42AAE">
        <w:rPr>
          <w:rFonts w:ascii="Arial" w:hAnsi="Arial" w:cs="Arial"/>
          <w:b/>
          <w:sz w:val="20"/>
          <w:szCs w:val="20"/>
        </w:rPr>
        <w:tab/>
        <w:t xml:space="preserve">In </w:t>
      </w:r>
      <w:r w:rsidR="005F2158">
        <w:rPr>
          <w:rFonts w:ascii="Arial" w:hAnsi="Arial" w:cs="Arial"/>
          <w:b/>
          <w:sz w:val="20"/>
          <w:szCs w:val="20"/>
        </w:rPr>
        <w:t>Manila</w:t>
      </w:r>
      <w:r w:rsidRPr="00C42AAE">
        <w:rPr>
          <w:rFonts w:ascii="Arial" w:hAnsi="Arial" w:cs="Arial"/>
          <w:b/>
          <w:sz w:val="20"/>
          <w:szCs w:val="20"/>
        </w:rPr>
        <w:t>:</w:t>
      </w:r>
    </w:p>
    <w:p w:rsidR="00C42AAE" w:rsidRPr="00C42AAE" w:rsidRDefault="00C42AAE" w:rsidP="00C42AA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42AAE">
        <w:rPr>
          <w:rFonts w:ascii="Arial" w:hAnsi="Arial" w:cs="Arial"/>
          <w:color w:val="000000"/>
          <w:sz w:val="20"/>
          <w:szCs w:val="20"/>
        </w:rPr>
        <w:t xml:space="preserve">Nadine </w:t>
      </w:r>
      <w:proofErr w:type="spellStart"/>
      <w:r w:rsidRPr="00C42AAE">
        <w:rPr>
          <w:rFonts w:ascii="Arial" w:hAnsi="Arial" w:cs="Arial"/>
          <w:color w:val="000000"/>
          <w:sz w:val="20"/>
          <w:szCs w:val="20"/>
        </w:rPr>
        <w:t>Ghannam</w:t>
      </w:r>
      <w:proofErr w:type="spellEnd"/>
      <w:r w:rsidRPr="00C42A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2AAE">
        <w:rPr>
          <w:rFonts w:ascii="Arial" w:hAnsi="Arial" w:cs="Arial"/>
          <w:color w:val="000000"/>
          <w:sz w:val="20"/>
          <w:szCs w:val="20"/>
        </w:rPr>
        <w:tab/>
      </w:r>
      <w:r w:rsidRPr="00C42AAE">
        <w:rPr>
          <w:rFonts w:ascii="Arial" w:hAnsi="Arial" w:cs="Arial"/>
          <w:color w:val="000000"/>
          <w:sz w:val="20"/>
          <w:szCs w:val="20"/>
        </w:rPr>
        <w:tab/>
      </w:r>
      <w:r w:rsidRPr="00C42AAE">
        <w:rPr>
          <w:rFonts w:ascii="Arial" w:hAnsi="Arial" w:cs="Arial"/>
          <w:color w:val="000000"/>
          <w:sz w:val="20"/>
          <w:szCs w:val="20"/>
        </w:rPr>
        <w:tab/>
      </w:r>
      <w:r w:rsidRPr="00C42AAE">
        <w:rPr>
          <w:rFonts w:ascii="Arial" w:hAnsi="Arial" w:cs="Arial"/>
          <w:color w:val="000000"/>
          <w:sz w:val="20"/>
          <w:szCs w:val="20"/>
        </w:rPr>
        <w:tab/>
      </w:r>
      <w:r w:rsidRPr="00C42AAE">
        <w:rPr>
          <w:rFonts w:ascii="Arial" w:hAnsi="Arial" w:cs="Arial"/>
          <w:color w:val="000000"/>
          <w:sz w:val="20"/>
          <w:szCs w:val="20"/>
        </w:rPr>
        <w:tab/>
      </w:r>
      <w:r w:rsidRPr="00C42AAE">
        <w:rPr>
          <w:rFonts w:ascii="Arial" w:hAnsi="Arial" w:cs="Arial"/>
          <w:color w:val="000000"/>
          <w:sz w:val="20"/>
          <w:szCs w:val="20"/>
        </w:rPr>
        <w:tab/>
      </w:r>
      <w:r w:rsidR="005F2158" w:rsidRPr="005F2158">
        <w:rPr>
          <w:rFonts w:ascii="Arial" w:hAnsi="Arial" w:cs="Arial"/>
          <w:color w:val="000000"/>
          <w:sz w:val="20"/>
          <w:szCs w:val="20"/>
        </w:rPr>
        <w:t xml:space="preserve">Arturo </w:t>
      </w:r>
      <w:proofErr w:type="spellStart"/>
      <w:r w:rsidR="005F2158" w:rsidRPr="005F2158">
        <w:rPr>
          <w:rFonts w:ascii="Arial" w:hAnsi="Arial" w:cs="Arial"/>
          <w:color w:val="000000"/>
          <w:sz w:val="20"/>
          <w:szCs w:val="20"/>
        </w:rPr>
        <w:t>Doria</w:t>
      </w:r>
      <w:proofErr w:type="spellEnd"/>
      <w:r w:rsidR="005F2158" w:rsidRPr="005F215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2158" w:rsidRPr="005F2158">
        <w:rPr>
          <w:rFonts w:ascii="Arial" w:hAnsi="Arial" w:cs="Arial"/>
          <w:color w:val="000000"/>
          <w:sz w:val="20"/>
          <w:szCs w:val="20"/>
        </w:rPr>
        <w:t>Cariaga</w:t>
      </w:r>
      <w:proofErr w:type="spellEnd"/>
      <w:r w:rsidRPr="00C42AAE">
        <w:rPr>
          <w:rFonts w:ascii="Arial" w:hAnsi="Arial" w:cs="Arial"/>
          <w:color w:val="000000"/>
          <w:sz w:val="20"/>
          <w:szCs w:val="20"/>
        </w:rPr>
        <w:tab/>
      </w:r>
      <w:r w:rsidRPr="00C42AAE">
        <w:rPr>
          <w:rFonts w:ascii="Arial" w:hAnsi="Arial" w:cs="Arial"/>
          <w:color w:val="000000"/>
          <w:sz w:val="20"/>
          <w:szCs w:val="20"/>
        </w:rPr>
        <w:br/>
        <w:t xml:space="preserve">Phone:  </w:t>
      </w:r>
      <w:r w:rsidR="005F2158">
        <w:rPr>
          <w:rFonts w:ascii="Arial" w:hAnsi="Arial" w:cs="Arial"/>
          <w:color w:val="000000"/>
          <w:sz w:val="20"/>
          <w:szCs w:val="20"/>
        </w:rPr>
        <w:t>+1 (202) 473-</w:t>
      </w:r>
      <w:r w:rsidRPr="00C42AAE">
        <w:rPr>
          <w:rFonts w:ascii="Arial" w:hAnsi="Arial" w:cs="Arial"/>
          <w:color w:val="000000"/>
          <w:sz w:val="20"/>
          <w:szCs w:val="20"/>
        </w:rPr>
        <w:t>3011</w:t>
      </w:r>
      <w:r w:rsidRPr="00C42AAE">
        <w:rPr>
          <w:rFonts w:ascii="Arial" w:hAnsi="Arial" w:cs="Arial"/>
          <w:color w:val="000000"/>
          <w:sz w:val="20"/>
          <w:szCs w:val="20"/>
        </w:rPr>
        <w:tab/>
      </w:r>
      <w:r w:rsidRPr="00C42AAE">
        <w:rPr>
          <w:rFonts w:ascii="Arial" w:hAnsi="Arial" w:cs="Arial"/>
          <w:color w:val="000000"/>
          <w:sz w:val="20"/>
          <w:szCs w:val="20"/>
        </w:rPr>
        <w:tab/>
      </w:r>
      <w:r w:rsidRPr="00C42AAE">
        <w:rPr>
          <w:rFonts w:ascii="Arial" w:hAnsi="Arial" w:cs="Arial"/>
          <w:color w:val="000000"/>
          <w:sz w:val="20"/>
          <w:szCs w:val="20"/>
        </w:rPr>
        <w:tab/>
      </w:r>
      <w:r w:rsidRPr="00C42AAE">
        <w:rPr>
          <w:rFonts w:ascii="Arial" w:hAnsi="Arial" w:cs="Arial"/>
          <w:color w:val="000000"/>
          <w:sz w:val="20"/>
          <w:szCs w:val="20"/>
        </w:rPr>
        <w:tab/>
      </w:r>
      <w:r w:rsidRPr="00C42AAE">
        <w:rPr>
          <w:rFonts w:ascii="Arial" w:hAnsi="Arial" w:cs="Arial"/>
          <w:color w:val="000000"/>
          <w:sz w:val="20"/>
          <w:szCs w:val="20"/>
        </w:rPr>
        <w:tab/>
      </w:r>
      <w:r w:rsidRPr="00C42AAE">
        <w:rPr>
          <w:rFonts w:ascii="Arial" w:hAnsi="Arial" w:cs="Arial"/>
          <w:sz w:val="20"/>
          <w:szCs w:val="20"/>
        </w:rPr>
        <w:t xml:space="preserve">Phone: </w:t>
      </w:r>
      <w:r w:rsidR="00FF5017">
        <w:rPr>
          <w:rFonts w:ascii="Arial" w:hAnsi="Arial" w:cs="Arial"/>
          <w:sz w:val="20"/>
          <w:szCs w:val="20"/>
        </w:rPr>
        <w:t>+ 632 848-7333</w:t>
      </w:r>
      <w:r w:rsidRPr="00C42AAE">
        <w:rPr>
          <w:rFonts w:ascii="Arial" w:hAnsi="Arial" w:cs="Arial"/>
          <w:color w:val="000000"/>
          <w:sz w:val="20"/>
          <w:szCs w:val="20"/>
        </w:rPr>
        <w:br/>
        <w:t xml:space="preserve">E-mail: </w:t>
      </w:r>
      <w:hyperlink r:id="rId8" w:history="1">
        <w:r w:rsidR="00473465">
          <w:rPr>
            <w:rStyle w:val="Hyperlink"/>
            <w:rFonts w:ascii="Arial" w:hAnsi="Arial" w:cs="Arial"/>
            <w:sz w:val="20"/>
            <w:szCs w:val="20"/>
          </w:rPr>
          <w:t>nsghannam@ifc.org</w:t>
        </w:r>
      </w:hyperlink>
      <w:r w:rsidR="00473465" w:rsidRPr="00473465">
        <w:rPr>
          <w:rFonts w:ascii="Arial" w:hAnsi="Arial" w:cs="Arial"/>
          <w:color w:val="000000"/>
          <w:sz w:val="20"/>
          <w:szCs w:val="20"/>
        </w:rPr>
        <w:tab/>
      </w:r>
      <w:r w:rsidR="00473465" w:rsidRPr="00473465">
        <w:rPr>
          <w:rFonts w:ascii="Arial" w:hAnsi="Arial" w:cs="Arial"/>
          <w:color w:val="000000"/>
          <w:sz w:val="20"/>
          <w:szCs w:val="20"/>
        </w:rPr>
        <w:tab/>
      </w:r>
      <w:r w:rsidR="00473465" w:rsidRPr="00473465">
        <w:rPr>
          <w:rFonts w:ascii="Arial" w:hAnsi="Arial" w:cs="Arial"/>
          <w:color w:val="000000"/>
          <w:sz w:val="20"/>
          <w:szCs w:val="20"/>
        </w:rPr>
        <w:tab/>
      </w:r>
      <w:r w:rsidR="00473465" w:rsidRPr="00473465">
        <w:rPr>
          <w:rFonts w:ascii="Arial" w:hAnsi="Arial" w:cs="Arial"/>
          <w:color w:val="000000"/>
          <w:sz w:val="20"/>
          <w:szCs w:val="20"/>
        </w:rPr>
        <w:tab/>
      </w:r>
      <w:r w:rsidR="00473465" w:rsidRPr="00473465">
        <w:rPr>
          <w:rFonts w:ascii="Arial" w:hAnsi="Arial" w:cs="Arial"/>
          <w:color w:val="000000"/>
          <w:sz w:val="20"/>
          <w:szCs w:val="20"/>
        </w:rPr>
        <w:tab/>
        <w:t xml:space="preserve">E-mail: </w:t>
      </w:r>
      <w:hyperlink r:id="rId9" w:history="1">
        <w:r w:rsidR="005F2158">
          <w:rPr>
            <w:rFonts w:ascii="Arial" w:hAnsi="Arial" w:cs="Arial"/>
            <w:color w:val="000099"/>
            <w:sz w:val="20"/>
            <w:szCs w:val="20"/>
            <w:u w:val="single"/>
          </w:rPr>
          <w:t>ACariaga@ifc.org</w:t>
        </w:r>
      </w:hyperlink>
      <w:r w:rsidR="005F21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42AAE" w:rsidRPr="00C42AAE" w:rsidRDefault="00C42AAE" w:rsidP="00F147A0">
      <w:pPr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:rsidR="002E6B64" w:rsidRDefault="002E6B64" w:rsidP="00F147A0">
      <w:pPr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:rsidR="00F147A0" w:rsidRDefault="00B058FF" w:rsidP="00F147A0">
      <w:pPr>
        <w:rPr>
          <w:rFonts w:ascii="Arial" w:hAnsi="Arial" w:cs="Arial"/>
          <w:b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Philippines’ </w:t>
      </w:r>
      <w:r w:rsidR="00473465" w:rsidRPr="00473465">
        <w:rPr>
          <w:rFonts w:ascii="Arial" w:hAnsi="Arial" w:cs="Arial"/>
          <w:b/>
          <w:color w:val="0D0D0D" w:themeColor="text1" w:themeTint="F2"/>
          <w:sz w:val="20"/>
          <w:szCs w:val="20"/>
        </w:rPr>
        <w:t>Local Governments Improving Business Regulation and Empowering</w:t>
      </w:r>
      <w:r w:rsidR="00473465" w:rsidRPr="0047346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73465" w:rsidRPr="00473465">
        <w:rPr>
          <w:rFonts w:ascii="Arial" w:hAnsi="Arial" w:cs="Arial"/>
          <w:b/>
          <w:color w:val="0D0D0D" w:themeColor="text1" w:themeTint="F2"/>
          <w:sz w:val="20"/>
          <w:szCs w:val="20"/>
        </w:rPr>
        <w:t>Entrepreneurs</w:t>
      </w:r>
      <w:r w:rsidR="00B028B7">
        <w:rPr>
          <w:rFonts w:ascii="Arial" w:hAnsi="Arial" w:cs="Arial"/>
          <w:b/>
          <w:color w:val="0D0D0D" w:themeColor="text1" w:themeTint="F2"/>
          <w:sz w:val="20"/>
          <w:szCs w:val="20"/>
        </w:rPr>
        <w:t>, Finds World Bank Group</w:t>
      </w:r>
    </w:p>
    <w:p w:rsidR="005272D3" w:rsidRPr="00C42AAE" w:rsidRDefault="005272D3" w:rsidP="00F147A0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F147A0" w:rsidRPr="00C42AAE" w:rsidRDefault="00473465" w:rsidP="00F147A0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473465">
        <w:rPr>
          <w:rFonts w:ascii="Arial" w:hAnsi="Arial" w:cs="Arial"/>
          <w:b/>
          <w:color w:val="0D0D0D" w:themeColor="text1" w:themeTint="F2"/>
          <w:sz w:val="20"/>
          <w:szCs w:val="20"/>
        </w:rPr>
        <w:t>Makati City, Philippines, December 8, 2010</w:t>
      </w:r>
      <w:r w:rsidR="00B028B7">
        <w:rPr>
          <w:rFonts w:ascii="Arial" w:hAnsi="Arial" w:cs="Arial"/>
          <w:b/>
          <w:color w:val="0D0D0D" w:themeColor="text1" w:themeTint="F2"/>
          <w:sz w:val="20"/>
          <w:szCs w:val="20"/>
        </w:rPr>
        <w:t>—</w:t>
      </w:r>
      <w:r w:rsidR="00055F6D">
        <w:rPr>
          <w:rFonts w:ascii="Arial" w:hAnsi="Arial" w:cs="Arial"/>
          <w:color w:val="0D0D0D" w:themeColor="text1" w:themeTint="F2"/>
          <w:sz w:val="20"/>
          <w:szCs w:val="20"/>
        </w:rPr>
        <w:t>Over the past two years</w:t>
      </w: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 xml:space="preserve">, 13 out of </w:t>
      </w:r>
      <w:r w:rsidR="00055F6D" w:rsidRPr="00473465">
        <w:rPr>
          <w:rFonts w:ascii="Arial" w:hAnsi="Arial" w:cs="Arial"/>
          <w:color w:val="0D0D0D" w:themeColor="text1" w:themeTint="F2"/>
          <w:sz w:val="20"/>
          <w:szCs w:val="20"/>
        </w:rPr>
        <w:t>2</w:t>
      </w:r>
      <w:r w:rsidR="00055F6D">
        <w:rPr>
          <w:rFonts w:ascii="Arial" w:hAnsi="Arial" w:cs="Arial"/>
          <w:color w:val="0D0D0D" w:themeColor="text1" w:themeTint="F2"/>
          <w:sz w:val="20"/>
          <w:szCs w:val="20"/>
        </w:rPr>
        <w:t>0</w:t>
      </w:r>
      <w:r w:rsidR="00055F6D" w:rsidRPr="0047346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 xml:space="preserve">cities in the Philippines carried out 19 regulatory </w:t>
      </w:r>
      <w:r w:rsidR="00AA0645">
        <w:rPr>
          <w:rFonts w:ascii="Arial" w:hAnsi="Arial" w:cs="Arial"/>
          <w:color w:val="0D0D0D" w:themeColor="text1" w:themeTint="F2"/>
          <w:sz w:val="20"/>
          <w:szCs w:val="20"/>
        </w:rPr>
        <w:t>improvements</w:t>
      </w:r>
      <w:r w:rsidR="00AA0645" w:rsidRPr="0047346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 xml:space="preserve">to make it easier to start and operate a business in their localities, according to </w:t>
      </w:r>
      <w:r w:rsidRPr="00473465">
        <w:rPr>
          <w:rFonts w:ascii="Arial" w:hAnsi="Arial" w:cs="Arial"/>
          <w:i/>
          <w:color w:val="0D0D0D" w:themeColor="text1" w:themeTint="F2"/>
          <w:sz w:val="20"/>
          <w:szCs w:val="20"/>
        </w:rPr>
        <w:t>Doing Business in the Philippines 2011</w:t>
      </w: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>.  Launched today, the joint IFC-World Bank report is the second in a series analyzing business regulations from the perspective of a small to midsize domestic firm in Philippine citie</w:t>
      </w:r>
      <w:r w:rsidR="00FA2BD1">
        <w:rPr>
          <w:rFonts w:ascii="Arial" w:hAnsi="Arial" w:cs="Arial"/>
          <w:color w:val="0D0D0D" w:themeColor="text1" w:themeTint="F2"/>
          <w:sz w:val="20"/>
          <w:szCs w:val="20"/>
        </w:rPr>
        <w:t>s.  Five cities were added this year</w:t>
      </w:r>
      <w:r w:rsidR="003B1A51">
        <w:rPr>
          <w:rFonts w:ascii="Arial" w:hAnsi="Arial" w:cs="Arial"/>
          <w:color w:val="0D0D0D" w:themeColor="text1" w:themeTint="F2"/>
          <w:sz w:val="20"/>
          <w:szCs w:val="20"/>
        </w:rPr>
        <w:t>, bringing the total to 25.</w:t>
      </w:r>
    </w:p>
    <w:p w:rsidR="00CC4D6B" w:rsidRPr="00C42AAE" w:rsidRDefault="00CC4D6B" w:rsidP="00CC4D6B">
      <w:pPr>
        <w:rPr>
          <w:rFonts w:ascii="Arial" w:hAnsi="Arial" w:cs="Arial"/>
          <w:color w:val="0D0D0D" w:themeColor="text1" w:themeTint="F2"/>
          <w:sz w:val="20"/>
          <w:szCs w:val="20"/>
          <w:lang w:eastAsia="zh-CN"/>
        </w:rPr>
      </w:pPr>
    </w:p>
    <w:p w:rsidR="00CC4D6B" w:rsidRDefault="00473465" w:rsidP="00C42AAE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473465">
        <w:rPr>
          <w:rFonts w:ascii="Arial" w:hAnsi="Arial" w:cs="Arial"/>
          <w:color w:val="0D0D0D" w:themeColor="text1" w:themeTint="F2"/>
          <w:sz w:val="20"/>
          <w:szCs w:val="20"/>
          <w:lang w:eastAsia="zh-CN"/>
        </w:rPr>
        <w:t>The results are positive</w:t>
      </w:r>
      <w:r w:rsidR="00B028B7">
        <w:rPr>
          <w:rFonts w:ascii="Arial" w:hAnsi="Arial" w:cs="Arial"/>
          <w:color w:val="0D0D0D" w:themeColor="text1" w:themeTint="F2"/>
          <w:sz w:val="20"/>
          <w:szCs w:val="20"/>
          <w:lang w:eastAsia="zh-CN"/>
        </w:rPr>
        <w:t>,</w:t>
      </w:r>
      <w:r w:rsidR="00B058FF">
        <w:rPr>
          <w:rFonts w:ascii="Arial" w:hAnsi="Arial" w:cs="Arial"/>
          <w:color w:val="0D0D0D" w:themeColor="text1" w:themeTint="F2"/>
          <w:sz w:val="20"/>
          <w:szCs w:val="20"/>
          <w:lang w:eastAsia="zh-CN"/>
        </w:rPr>
        <w:t xml:space="preserve"> with</w:t>
      </w:r>
      <w:r w:rsidRPr="00473465">
        <w:rPr>
          <w:rFonts w:ascii="Arial" w:hAnsi="Arial" w:cs="Arial"/>
          <w:color w:val="0D0D0D" w:themeColor="text1" w:themeTint="F2"/>
          <w:sz w:val="20"/>
          <w:szCs w:val="20"/>
          <w:lang w:eastAsia="zh-CN"/>
        </w:rPr>
        <w:t xml:space="preserve"> 65</w:t>
      </w:r>
      <w:r w:rsidR="00B028B7">
        <w:rPr>
          <w:rFonts w:ascii="Arial" w:hAnsi="Arial" w:cs="Arial"/>
          <w:color w:val="0D0D0D" w:themeColor="text1" w:themeTint="F2"/>
          <w:sz w:val="20"/>
          <w:szCs w:val="20"/>
          <w:lang w:eastAsia="zh-CN"/>
        </w:rPr>
        <w:t xml:space="preserve"> percent</w:t>
      </w:r>
      <w:r w:rsidR="00B028B7" w:rsidRPr="00473465">
        <w:rPr>
          <w:rFonts w:ascii="Arial" w:hAnsi="Arial" w:cs="Arial"/>
          <w:color w:val="0D0D0D" w:themeColor="text1" w:themeTint="F2"/>
          <w:sz w:val="20"/>
          <w:szCs w:val="20"/>
          <w:lang w:eastAsia="zh-CN"/>
        </w:rPr>
        <w:t xml:space="preserve"> </w:t>
      </w:r>
      <w:r w:rsidRPr="00473465">
        <w:rPr>
          <w:rFonts w:ascii="Arial" w:hAnsi="Arial" w:cs="Arial"/>
          <w:color w:val="0D0D0D" w:themeColor="text1" w:themeTint="F2"/>
          <w:sz w:val="20"/>
          <w:szCs w:val="20"/>
          <w:lang w:eastAsia="zh-CN"/>
        </w:rPr>
        <w:t xml:space="preserve">of the cities benchmarked for the second time </w:t>
      </w:r>
      <w:r w:rsidR="00C42AAE">
        <w:rPr>
          <w:rFonts w:ascii="Arial" w:hAnsi="Arial" w:cs="Arial"/>
          <w:color w:val="0D0D0D" w:themeColor="text1" w:themeTint="F2"/>
          <w:sz w:val="20"/>
          <w:szCs w:val="20"/>
          <w:lang w:eastAsia="zh-CN"/>
        </w:rPr>
        <w:t xml:space="preserve">since 2008 </w:t>
      </w:r>
      <w:r w:rsidRPr="00473465">
        <w:rPr>
          <w:rFonts w:ascii="Arial" w:hAnsi="Arial" w:cs="Arial"/>
          <w:color w:val="0D0D0D" w:themeColor="text1" w:themeTint="F2"/>
          <w:sz w:val="20"/>
          <w:szCs w:val="20"/>
          <w:lang w:eastAsia="zh-CN"/>
        </w:rPr>
        <w:t>show</w:t>
      </w:r>
      <w:r w:rsidR="00B058FF">
        <w:rPr>
          <w:rFonts w:ascii="Arial" w:hAnsi="Arial" w:cs="Arial"/>
          <w:color w:val="0D0D0D" w:themeColor="text1" w:themeTint="F2"/>
          <w:sz w:val="20"/>
          <w:szCs w:val="20"/>
          <w:lang w:eastAsia="zh-CN"/>
        </w:rPr>
        <w:t>ing</w:t>
      </w:r>
      <w:r w:rsidRPr="00473465">
        <w:rPr>
          <w:rFonts w:ascii="Arial" w:hAnsi="Arial" w:cs="Arial"/>
          <w:color w:val="0D0D0D" w:themeColor="text1" w:themeTint="F2"/>
          <w:sz w:val="20"/>
          <w:szCs w:val="20"/>
          <w:lang w:eastAsia="zh-CN"/>
        </w:rPr>
        <w:t xml:space="preserve"> positive reforms in at least</w:t>
      </w:r>
      <w:r w:rsidR="00E43433">
        <w:rPr>
          <w:rFonts w:ascii="Arial" w:hAnsi="Arial" w:cs="Arial"/>
          <w:color w:val="0D0D0D" w:themeColor="text1" w:themeTint="F2"/>
          <w:sz w:val="20"/>
          <w:szCs w:val="20"/>
          <w:lang w:eastAsia="zh-CN"/>
        </w:rPr>
        <w:t xml:space="preserve"> one </w:t>
      </w:r>
      <w:r w:rsidRPr="00473465">
        <w:rPr>
          <w:rFonts w:ascii="Arial" w:hAnsi="Arial" w:cs="Arial"/>
          <w:color w:val="0D0D0D" w:themeColor="text1" w:themeTint="F2"/>
          <w:sz w:val="20"/>
          <w:szCs w:val="20"/>
          <w:lang w:eastAsia="zh-CN"/>
        </w:rPr>
        <w:t xml:space="preserve">of the three areas measured </w:t>
      </w: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>– starting a business, registering property, and dealing with construction permits. It is easiest to start a business in General Santos, obtain construction permits in Davao City, and register property in Valenzuela.</w:t>
      </w:r>
    </w:p>
    <w:p w:rsidR="00B058FF" w:rsidRPr="00C42AAE" w:rsidRDefault="00B058FF" w:rsidP="00C42AAE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B058FF" w:rsidRPr="00C42AAE" w:rsidRDefault="00B058FF" w:rsidP="00B058FF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>“</w:t>
      </w:r>
      <w:r w:rsidRPr="00A77FFE">
        <w:rPr>
          <w:rFonts w:ascii="Arial" w:hAnsi="Arial" w:cs="Arial"/>
          <w:color w:val="0D0D0D" w:themeColor="text1" w:themeTint="F2"/>
          <w:sz w:val="20"/>
          <w:szCs w:val="20"/>
        </w:rPr>
        <w:t xml:space="preserve">A regulatory environment where </w:t>
      </w:r>
      <w:r>
        <w:rPr>
          <w:rFonts w:ascii="Arial" w:hAnsi="Arial" w:cs="Arial"/>
          <w:color w:val="0D0D0D" w:themeColor="text1" w:themeTint="F2"/>
          <w:sz w:val="20"/>
          <w:szCs w:val="20"/>
        </w:rPr>
        <w:t>entrepreneurs</w:t>
      </w:r>
      <w:r w:rsidRPr="00A77FFE">
        <w:rPr>
          <w:rFonts w:ascii="Arial" w:hAnsi="Arial" w:cs="Arial"/>
          <w:color w:val="0D0D0D" w:themeColor="text1" w:themeTint="F2"/>
          <w:sz w:val="20"/>
          <w:szCs w:val="20"/>
        </w:rPr>
        <w:t xml:space="preserve"> can </w:t>
      </w:r>
      <w:r>
        <w:rPr>
          <w:rFonts w:ascii="Arial" w:hAnsi="Arial" w:cs="Arial"/>
          <w:color w:val="0D0D0D" w:themeColor="text1" w:themeTint="F2"/>
          <w:sz w:val="20"/>
          <w:szCs w:val="20"/>
        </w:rPr>
        <w:t>start a</w:t>
      </w:r>
      <w:r w:rsidRPr="00A77FFE">
        <w:rPr>
          <w:rFonts w:ascii="Arial" w:hAnsi="Arial" w:cs="Arial"/>
          <w:color w:val="0D0D0D" w:themeColor="text1" w:themeTint="F2"/>
          <w:sz w:val="20"/>
          <w:szCs w:val="20"/>
        </w:rPr>
        <w:t xml:space="preserve"> business 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and then </w:t>
      </w:r>
      <w:r w:rsidRPr="00A77FFE">
        <w:rPr>
          <w:rFonts w:ascii="Arial" w:hAnsi="Arial" w:cs="Arial"/>
          <w:color w:val="0D0D0D" w:themeColor="text1" w:themeTint="F2"/>
          <w:sz w:val="20"/>
          <w:szCs w:val="20"/>
        </w:rPr>
        <w:t>grow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their firms</w:t>
      </w:r>
      <w:r w:rsidRPr="00A77FFE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>
        <w:rPr>
          <w:rFonts w:ascii="Arial" w:hAnsi="Arial" w:cs="Arial"/>
          <w:color w:val="0D0D0D" w:themeColor="text1" w:themeTint="F2"/>
          <w:sz w:val="20"/>
          <w:szCs w:val="20"/>
        </w:rPr>
        <w:t>can expand</w:t>
      </w:r>
      <w:r w:rsidRPr="00A77FFE">
        <w:rPr>
          <w:rFonts w:ascii="Arial" w:hAnsi="Arial" w:cs="Arial"/>
          <w:color w:val="0D0D0D" w:themeColor="text1" w:themeTint="F2"/>
          <w:sz w:val="20"/>
          <w:szCs w:val="20"/>
        </w:rPr>
        <w:t xml:space="preserve"> opportunities for the poor</w:t>
      </w: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 xml:space="preserve">,” said </w:t>
      </w:r>
      <w:proofErr w:type="spellStart"/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>Janamitra</w:t>
      </w:r>
      <w:proofErr w:type="spellEnd"/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proofErr w:type="spellStart"/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>Devan</w:t>
      </w:r>
      <w:proofErr w:type="spellEnd"/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 xml:space="preserve">, 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IFC-World Bank </w:t>
      </w: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 xml:space="preserve">Vice President, Financial </w:t>
      </w:r>
      <w:r w:rsidR="00B028B7">
        <w:rPr>
          <w:rFonts w:ascii="Arial" w:hAnsi="Arial" w:cs="Arial"/>
          <w:color w:val="0D0D0D" w:themeColor="text1" w:themeTint="F2"/>
          <w:sz w:val="20"/>
          <w:szCs w:val="20"/>
        </w:rPr>
        <w:t>and</w:t>
      </w: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 xml:space="preserve"> Private Sector Development.  “</w:t>
      </w:r>
      <w:r w:rsidRPr="00A77FFE">
        <w:rPr>
          <w:rFonts w:ascii="Arial" w:hAnsi="Arial" w:cs="Arial"/>
          <w:color w:val="0D0D0D" w:themeColor="text1" w:themeTint="F2"/>
          <w:sz w:val="20"/>
          <w:szCs w:val="20"/>
        </w:rPr>
        <w:t xml:space="preserve">The progress in regulatory </w:t>
      </w:r>
      <w:r>
        <w:rPr>
          <w:rFonts w:ascii="Arial" w:hAnsi="Arial" w:cs="Arial"/>
          <w:color w:val="0D0D0D" w:themeColor="text1" w:themeTint="F2"/>
          <w:sz w:val="20"/>
          <w:szCs w:val="20"/>
        </w:rPr>
        <w:t>improvements</w:t>
      </w:r>
      <w:r w:rsidRPr="00A77FFE">
        <w:rPr>
          <w:rFonts w:ascii="Arial" w:hAnsi="Arial" w:cs="Arial"/>
          <w:color w:val="0D0D0D" w:themeColor="text1" w:themeTint="F2"/>
          <w:sz w:val="20"/>
          <w:szCs w:val="20"/>
        </w:rPr>
        <w:t xml:space="preserve"> at the local level in the Philippines is an important step toward expanding business opportunities throughout the country.</w:t>
      </w: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>”</w:t>
      </w:r>
    </w:p>
    <w:p w:rsidR="00BD39FE" w:rsidRPr="00C42AAE" w:rsidRDefault="00BD39FE" w:rsidP="00F147A0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8E0016" w:rsidRPr="00C42AAE" w:rsidRDefault="00473465" w:rsidP="00C815AD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>Many of the improvements came from re-engineering business processes, reducing fees</w:t>
      </w:r>
      <w:r w:rsidR="00B028B7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 xml:space="preserve"> and using new technology.  </w:t>
      </w:r>
      <w:r w:rsidR="00956426" w:rsidRPr="00C42AAE">
        <w:rPr>
          <w:rFonts w:ascii="Arial" w:hAnsi="Arial" w:cs="Arial"/>
          <w:color w:val="0D0D0D" w:themeColor="text1" w:themeTint="F2"/>
          <w:sz w:val="20"/>
          <w:szCs w:val="20"/>
        </w:rPr>
        <w:t xml:space="preserve">For starting a business, Pasay eliminated two procedures in the business permit application process.  </w:t>
      </w:r>
      <w:r w:rsidR="00105A69" w:rsidRPr="00105A69">
        <w:rPr>
          <w:rFonts w:ascii="Arial" w:hAnsi="Arial" w:cs="Arial"/>
          <w:color w:val="0D0D0D" w:themeColor="text1" w:themeTint="F2"/>
          <w:sz w:val="20"/>
          <w:szCs w:val="20"/>
        </w:rPr>
        <w:t xml:space="preserve">Notaries in Caloocan, </w:t>
      </w:r>
      <w:proofErr w:type="spellStart"/>
      <w:r w:rsidR="00105A69" w:rsidRPr="00105A69">
        <w:rPr>
          <w:rFonts w:ascii="Arial" w:hAnsi="Arial" w:cs="Arial"/>
          <w:color w:val="0D0D0D" w:themeColor="text1" w:themeTint="F2"/>
          <w:sz w:val="20"/>
          <w:szCs w:val="20"/>
        </w:rPr>
        <w:t>Malabon</w:t>
      </w:r>
      <w:proofErr w:type="spellEnd"/>
      <w:r w:rsidR="00105A69" w:rsidRPr="00105A69">
        <w:rPr>
          <w:rFonts w:ascii="Arial" w:hAnsi="Arial" w:cs="Arial"/>
          <w:color w:val="0D0D0D" w:themeColor="text1" w:themeTint="F2"/>
          <w:sz w:val="20"/>
          <w:szCs w:val="20"/>
        </w:rPr>
        <w:t xml:space="preserve">, </w:t>
      </w:r>
      <w:proofErr w:type="spellStart"/>
      <w:r w:rsidR="00105A69" w:rsidRPr="00105A69">
        <w:rPr>
          <w:rFonts w:ascii="Arial" w:hAnsi="Arial" w:cs="Arial"/>
          <w:color w:val="0D0D0D" w:themeColor="text1" w:themeTint="F2"/>
          <w:sz w:val="20"/>
          <w:szCs w:val="20"/>
        </w:rPr>
        <w:t>Navotas</w:t>
      </w:r>
      <w:proofErr w:type="spellEnd"/>
      <w:r w:rsidR="00105A69" w:rsidRPr="00105A69">
        <w:rPr>
          <w:rFonts w:ascii="Arial" w:hAnsi="Arial" w:cs="Arial"/>
          <w:color w:val="0D0D0D" w:themeColor="text1" w:themeTint="F2"/>
          <w:sz w:val="20"/>
          <w:szCs w:val="20"/>
        </w:rPr>
        <w:t>, and Valenzuela reduced their fees</w:t>
      </w:r>
      <w:r w:rsidR="00C815AD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0F52AD">
        <w:rPr>
          <w:rFonts w:ascii="Arial" w:hAnsi="Arial" w:cs="Arial"/>
          <w:color w:val="0D0D0D" w:themeColor="text1" w:themeTint="F2"/>
          <w:sz w:val="20"/>
          <w:szCs w:val="20"/>
        </w:rPr>
        <w:t xml:space="preserve">for </w:t>
      </w:r>
      <w:r w:rsidR="00C815AD" w:rsidRPr="00C815AD">
        <w:rPr>
          <w:rFonts w:ascii="Arial" w:hAnsi="Arial" w:cs="Arial"/>
          <w:color w:val="0D0D0D" w:themeColor="text1" w:themeTint="F2"/>
          <w:sz w:val="20"/>
          <w:szCs w:val="20"/>
        </w:rPr>
        <w:t>preparing sale deeds and related</w:t>
      </w:r>
      <w:r w:rsidR="000F52AD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C815AD" w:rsidRPr="00C815AD">
        <w:rPr>
          <w:rFonts w:ascii="Arial" w:hAnsi="Arial" w:cs="Arial"/>
          <w:color w:val="0D0D0D" w:themeColor="text1" w:themeTint="F2"/>
          <w:sz w:val="20"/>
          <w:szCs w:val="20"/>
        </w:rPr>
        <w:t>documents</w:t>
      </w:r>
      <w:r w:rsidR="00105A69" w:rsidRPr="00105A69">
        <w:rPr>
          <w:rFonts w:ascii="Arial" w:hAnsi="Arial" w:cs="Arial"/>
          <w:color w:val="0D0D0D" w:themeColor="text1" w:themeTint="F2"/>
          <w:sz w:val="20"/>
          <w:szCs w:val="20"/>
        </w:rPr>
        <w:t xml:space="preserve">, saving money for local entrepreneurs. </w:t>
      </w:r>
      <w:r w:rsidR="00105A69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>Cebu City’s Register of Deeds completed the nationwide land titling computerization project</w:t>
      </w:r>
      <w:r w:rsidR="00B028B7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956426">
        <w:rPr>
          <w:rFonts w:ascii="Arial" w:hAnsi="Arial" w:cs="Arial"/>
          <w:color w:val="0D0D0D" w:themeColor="text1" w:themeTint="F2"/>
          <w:sz w:val="20"/>
          <w:szCs w:val="20"/>
        </w:rPr>
        <w:t xml:space="preserve">which </w:t>
      </w:r>
      <w:r w:rsidR="00A55AFB">
        <w:rPr>
          <w:rFonts w:ascii="Arial" w:hAnsi="Arial" w:cs="Arial"/>
          <w:color w:val="0D0D0D" w:themeColor="text1" w:themeTint="F2"/>
          <w:sz w:val="20"/>
          <w:szCs w:val="20"/>
        </w:rPr>
        <w:t>cut in half</w:t>
      </w: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 xml:space="preserve"> the time </w:t>
      </w:r>
      <w:r w:rsidR="00DC164A">
        <w:rPr>
          <w:rFonts w:ascii="Arial" w:hAnsi="Arial" w:cs="Arial"/>
          <w:color w:val="0D0D0D" w:themeColor="text1" w:themeTint="F2"/>
          <w:sz w:val="20"/>
          <w:szCs w:val="20"/>
        </w:rPr>
        <w:t>to</w:t>
      </w: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DC164A">
        <w:rPr>
          <w:rFonts w:ascii="Arial" w:hAnsi="Arial" w:cs="Arial"/>
          <w:color w:val="0D0D0D" w:themeColor="text1" w:themeTint="F2"/>
          <w:sz w:val="20"/>
          <w:szCs w:val="20"/>
        </w:rPr>
        <w:t>register</w:t>
      </w: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 xml:space="preserve"> property</w:t>
      </w:r>
      <w:r w:rsidR="00DC164A">
        <w:rPr>
          <w:rFonts w:ascii="Arial" w:hAnsi="Arial" w:cs="Arial"/>
          <w:color w:val="0D0D0D" w:themeColor="text1" w:themeTint="F2"/>
          <w:sz w:val="20"/>
          <w:szCs w:val="20"/>
        </w:rPr>
        <w:t xml:space="preserve"> title</w:t>
      </w: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 xml:space="preserve"> from 10 days to </w:t>
      </w:r>
      <w:r w:rsidR="00C926A7">
        <w:rPr>
          <w:rFonts w:ascii="Arial" w:hAnsi="Arial" w:cs="Arial"/>
          <w:color w:val="0D0D0D" w:themeColor="text1" w:themeTint="F2"/>
          <w:sz w:val="20"/>
          <w:szCs w:val="20"/>
        </w:rPr>
        <w:t>five</w:t>
      </w: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 xml:space="preserve"> days.  </w:t>
      </w:r>
    </w:p>
    <w:p w:rsidR="00F147A0" w:rsidRPr="00C42AAE" w:rsidRDefault="00F147A0" w:rsidP="008E0016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DC7AA4" w:rsidRPr="00C42AAE" w:rsidRDefault="00473465" w:rsidP="008E0016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473465">
        <w:rPr>
          <w:rFonts w:ascii="Arial" w:hAnsi="Arial" w:cs="Arial"/>
          <w:i/>
          <w:color w:val="0D0D0D" w:themeColor="text1" w:themeTint="F2"/>
          <w:sz w:val="20"/>
          <w:szCs w:val="20"/>
        </w:rPr>
        <w:t>Doing Business in the Philippines 2011</w:t>
      </w: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 xml:space="preserve"> documents the wide variations in local business regulations across the country. </w:t>
      </w:r>
      <w:r w:rsidR="00D21C12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BB6EF8">
        <w:rPr>
          <w:rFonts w:ascii="Arial" w:hAnsi="Arial" w:cs="Arial"/>
          <w:color w:val="0D0D0D" w:themeColor="text1" w:themeTint="F2"/>
          <w:sz w:val="20"/>
          <w:szCs w:val="20"/>
        </w:rPr>
        <w:t>The h</w:t>
      </w: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>igh number</w:t>
      </w:r>
      <w:r w:rsidR="00D21C12">
        <w:rPr>
          <w:rFonts w:ascii="Arial" w:hAnsi="Arial" w:cs="Arial"/>
          <w:color w:val="0D0D0D" w:themeColor="text1" w:themeTint="F2"/>
          <w:sz w:val="20"/>
          <w:szCs w:val="20"/>
        </w:rPr>
        <w:t>s</w:t>
      </w: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 xml:space="preserve"> of procedures</w:t>
      </w:r>
      <w:r w:rsidR="00B058FF">
        <w:rPr>
          <w:rFonts w:ascii="Arial" w:hAnsi="Arial" w:cs="Arial"/>
          <w:color w:val="0D0D0D" w:themeColor="text1" w:themeTint="F2"/>
          <w:sz w:val="20"/>
          <w:szCs w:val="20"/>
        </w:rPr>
        <w:t>, expenses</w:t>
      </w:r>
      <w:r w:rsidR="00B028B7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BB6EF8">
        <w:rPr>
          <w:rFonts w:ascii="Arial" w:hAnsi="Arial" w:cs="Arial"/>
          <w:color w:val="0D0D0D" w:themeColor="text1" w:themeTint="F2"/>
          <w:sz w:val="20"/>
          <w:szCs w:val="20"/>
        </w:rPr>
        <w:t xml:space="preserve">and requirements </w:t>
      </w: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>continue to be the biggest challenge for local entrepreneurs.</w:t>
      </w:r>
      <w:r w:rsidR="00BB6EF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 xml:space="preserve"> While no single city does equally well on all three indicators, </w:t>
      </w:r>
      <w:proofErr w:type="spellStart"/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>Taguig</w:t>
      </w:r>
      <w:proofErr w:type="spellEnd"/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 xml:space="preserve"> and Valenzuela are consistently ranked in the top </w:t>
      </w:r>
      <w:r w:rsidR="00956426">
        <w:rPr>
          <w:rFonts w:ascii="Arial" w:hAnsi="Arial" w:cs="Arial"/>
          <w:color w:val="0D0D0D" w:themeColor="text1" w:themeTint="F2"/>
          <w:sz w:val="20"/>
          <w:szCs w:val="20"/>
        </w:rPr>
        <w:t>seven</w:t>
      </w: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 xml:space="preserve"> across all three</w:t>
      </w:r>
      <w:r w:rsidR="00C926A7">
        <w:rPr>
          <w:rFonts w:ascii="Arial" w:hAnsi="Arial" w:cs="Arial"/>
          <w:color w:val="0D0D0D" w:themeColor="text1" w:themeTint="F2"/>
          <w:sz w:val="20"/>
          <w:szCs w:val="20"/>
        </w:rPr>
        <w:t xml:space="preserve"> indicators</w:t>
      </w: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 xml:space="preserve">.  </w:t>
      </w:r>
    </w:p>
    <w:p w:rsidR="00F147A0" w:rsidRPr="00C42AAE" w:rsidRDefault="00473465" w:rsidP="00F147A0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          </w:t>
      </w:r>
    </w:p>
    <w:p w:rsidR="008C233E" w:rsidRPr="00C42AAE" w:rsidRDefault="00473465" w:rsidP="008C233E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 xml:space="preserve">The study </w:t>
      </w:r>
      <w:r w:rsidR="00C926A7">
        <w:rPr>
          <w:rFonts w:ascii="Arial" w:hAnsi="Arial" w:cs="Arial"/>
          <w:color w:val="0D0D0D" w:themeColor="text1" w:themeTint="F2"/>
          <w:sz w:val="20"/>
          <w:szCs w:val="20"/>
        </w:rPr>
        <w:t>was conducted</w:t>
      </w: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 xml:space="preserve"> in partnership with the Asian Institute of Management Policy Center. </w:t>
      </w:r>
      <w:r w:rsidR="00C42AAE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>It was funded by</w:t>
      </w:r>
      <w:r w:rsidR="00C926A7">
        <w:rPr>
          <w:rFonts w:ascii="Arial" w:hAnsi="Arial" w:cs="Arial"/>
          <w:color w:val="0D0D0D" w:themeColor="text1" w:themeTint="F2"/>
          <w:sz w:val="20"/>
          <w:szCs w:val="20"/>
        </w:rPr>
        <w:t xml:space="preserve"> the</w:t>
      </w: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 xml:space="preserve"> Australian Agency for International Development, </w:t>
      </w:r>
      <w:r w:rsidR="00C926A7">
        <w:rPr>
          <w:rFonts w:ascii="Arial" w:hAnsi="Arial" w:cs="Arial"/>
          <w:color w:val="0D0D0D" w:themeColor="text1" w:themeTint="F2"/>
          <w:sz w:val="20"/>
          <w:szCs w:val="20"/>
        </w:rPr>
        <w:t xml:space="preserve">the </w:t>
      </w: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 xml:space="preserve">Canadian International Development Agency, </w:t>
      </w:r>
      <w:proofErr w:type="gramStart"/>
      <w:r w:rsidR="00C926A7">
        <w:rPr>
          <w:rFonts w:ascii="Arial" w:hAnsi="Arial" w:cs="Arial"/>
          <w:color w:val="0D0D0D" w:themeColor="text1" w:themeTint="F2"/>
          <w:sz w:val="20"/>
          <w:szCs w:val="20"/>
        </w:rPr>
        <w:t>the</w:t>
      </w:r>
      <w:proofErr w:type="gramEnd"/>
      <w:r w:rsidR="00C926A7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>United States Agency for International Development, and the Investment Climate Advisory Services of the World Bank Group.</w:t>
      </w:r>
    </w:p>
    <w:p w:rsidR="008C233E" w:rsidRPr="00C42AAE" w:rsidRDefault="008C233E" w:rsidP="00F147A0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F147A0" w:rsidRPr="00C42AAE" w:rsidRDefault="00473465" w:rsidP="00F147A0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473465">
        <w:rPr>
          <w:rFonts w:ascii="Arial" w:hAnsi="Arial" w:cs="Arial"/>
          <w:color w:val="0D0D0D" w:themeColor="text1" w:themeTint="F2"/>
          <w:sz w:val="20"/>
          <w:szCs w:val="20"/>
        </w:rPr>
        <w:t xml:space="preserve">For more information, please visit </w:t>
      </w:r>
      <w:hyperlink r:id="rId10" w:history="1">
        <w:r w:rsidRPr="001064CD">
          <w:rPr>
            <w:rStyle w:val="Hyperlink"/>
            <w:rFonts w:ascii="Arial" w:hAnsi="Arial" w:cs="Arial"/>
            <w:sz w:val="20"/>
            <w:szCs w:val="20"/>
          </w:rPr>
          <w:t>www.doingbusiness.org/philippines</w:t>
        </w:r>
        <w:r w:rsidR="00D21C12" w:rsidRPr="001064CD">
          <w:rPr>
            <w:rStyle w:val="Hyperlink"/>
            <w:rFonts w:ascii="Arial" w:hAnsi="Arial" w:cs="Arial"/>
            <w:sz w:val="20"/>
            <w:szCs w:val="20"/>
          </w:rPr>
          <w:t>/</w:t>
        </w:r>
        <w:r w:rsidRPr="001064CD">
          <w:rPr>
            <w:rStyle w:val="Hyperlink"/>
            <w:rFonts w:ascii="Arial" w:hAnsi="Arial" w:cs="Arial"/>
            <w:sz w:val="20"/>
            <w:szCs w:val="20"/>
          </w:rPr>
          <w:t>.</w:t>
        </w:r>
      </w:hyperlink>
    </w:p>
    <w:p w:rsidR="00F147A0" w:rsidRPr="00C42AAE" w:rsidRDefault="00F147A0" w:rsidP="00F147A0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F147A0" w:rsidRPr="00C42AAE" w:rsidRDefault="00F147A0" w:rsidP="00F147A0">
      <w:pPr>
        <w:keepNext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C42AAE">
        <w:rPr>
          <w:rFonts w:ascii="Arial" w:hAnsi="Arial" w:cs="Arial"/>
          <w:b/>
          <w:bCs/>
          <w:color w:val="000000"/>
          <w:sz w:val="20"/>
          <w:szCs w:val="20"/>
        </w:rPr>
        <w:t>About the World Bank Group</w:t>
      </w:r>
    </w:p>
    <w:p w:rsidR="00F147A0" w:rsidRPr="00C42AAE" w:rsidRDefault="00D21C12" w:rsidP="00F147A0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FF0000"/>
          <w:sz w:val="20"/>
          <w:szCs w:val="20"/>
        </w:rPr>
      </w:pPr>
      <w:r w:rsidRPr="00D21C12">
        <w:rPr>
          <w:rFonts w:ascii="Arial" w:hAnsi="Arial" w:cs="Arial"/>
          <w:color w:val="000000"/>
          <w:sz w:val="20"/>
          <w:szCs w:val="20"/>
        </w:rPr>
        <w:t xml:space="preserve">The World Bank Group is one of the world’s largest sources of funding and knowledge for developing countries. It comprises five closely associated institutions: the International Bank for Reconstruction and Development (IBRD) and the International Development Association (IDA), which together form the World Bank; the International Finance Corporation (IFC); the Multilateral Investment Guarantee Agency (MIGA); and the International Centre for Settlement of Investment Disputes (ICSID). Each institution plays a distinct role in </w:t>
      </w:r>
      <w:proofErr w:type="gramStart"/>
      <w:r w:rsidRPr="00D21C12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D21C12">
        <w:rPr>
          <w:rFonts w:ascii="Arial" w:hAnsi="Arial" w:cs="Arial"/>
          <w:color w:val="000000"/>
          <w:sz w:val="20"/>
          <w:szCs w:val="20"/>
        </w:rPr>
        <w:t xml:space="preserve"> mission to fight poverty and improve living standards for people in the developing world. For more information, please visit www.worldbank.org, www.miga.org, and www.ifc.org.</w:t>
      </w:r>
    </w:p>
    <w:p w:rsidR="00C93149" w:rsidRPr="00C42AAE" w:rsidRDefault="00C93149" w:rsidP="00F147A0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857604" w:rsidRPr="00C42AAE" w:rsidRDefault="00857604" w:rsidP="003464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857604" w:rsidRPr="00C42AAE" w:rsidSect="00DC164A">
      <w:headerReference w:type="default" r:id="rId11"/>
      <w:footerReference w:type="even" r:id="rId12"/>
      <w:footerReference w:type="default" r:id="rId13"/>
      <w:pgSz w:w="12240" w:h="15840" w:code="1"/>
      <w:pgMar w:top="1890" w:right="1008" w:bottom="864" w:left="1440" w:header="54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E84" w:rsidRDefault="00623E84" w:rsidP="00857604">
      <w:r>
        <w:separator/>
      </w:r>
    </w:p>
  </w:endnote>
  <w:endnote w:type="continuationSeparator" w:id="0">
    <w:p w:rsidR="00623E84" w:rsidRDefault="00623E84" w:rsidP="00857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2D3" w:rsidRDefault="005272D3">
    <w:r>
      <w:rPr>
        <w:noProof/>
      </w:rPr>
      <w:drawing>
        <wp:inline distT="0" distB="0" distL="0" distR="0">
          <wp:extent cx="2317750" cy="638175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2D3" w:rsidRDefault="005272D3" w:rsidP="00857604">
    <w:pPr>
      <w:rPr>
        <w:noProof/>
      </w:rPr>
    </w:pPr>
    <w:r>
      <w:rPr>
        <w:noProof/>
        <w:lang w:eastAsia="zh-CN"/>
      </w:rPr>
      <w:t xml:space="preserve"> </w:t>
    </w:r>
    <w:r>
      <w:tab/>
    </w:r>
    <w:r>
      <w:tab/>
    </w:r>
    <w:r>
      <w:tab/>
    </w:r>
    <w:r>
      <w:tab/>
    </w:r>
    <w:r>
      <w:rPr>
        <w:noProof/>
      </w:rPr>
      <w:tab/>
    </w:r>
    <w:r>
      <w:rPr>
        <w:noProof/>
      </w:rPr>
      <w:tab/>
      <w:t xml:space="preserve"> </w:t>
    </w:r>
    <w:r>
      <w:rPr>
        <w:noProof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E84" w:rsidRDefault="00623E84" w:rsidP="00857604">
      <w:r>
        <w:separator/>
      </w:r>
    </w:p>
  </w:footnote>
  <w:footnote w:type="continuationSeparator" w:id="0">
    <w:p w:rsidR="00623E84" w:rsidRDefault="00623E84" w:rsidP="00857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2D3" w:rsidRDefault="005272D3">
    <w:pPr>
      <w:pStyle w:val="Header"/>
      <w:ind w:right="-288" w:hanging="180"/>
    </w:pPr>
    <w:r>
      <w:rPr>
        <w:noProof/>
      </w:rPr>
      <w:drawing>
        <wp:inline distT="0" distB="0" distL="0" distR="0">
          <wp:extent cx="2252045" cy="502920"/>
          <wp:effectExtent l="19050" t="0" r="0" b="0"/>
          <wp:docPr id="57" name="Picture 1" descr="http://ifcnet.ifc.org/ifcint/ccrdr.nsf/AttachmentsByTitle/IFC_Logo_EngF_Black_Horz_jpg/$FILE/IFC_Logo_Eng_Black_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fcnet.ifc.org/ifcint/ccrdr.nsf/AttachmentsByTitle/IFC_Logo_EngF_Black_Horz_jpg/$FILE/IFC_Logo_Eng_Black_Horz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300" t="15663" r="4815" b="24096"/>
                  <a:stretch>
                    <a:fillRect/>
                  </a:stretch>
                </pic:blipFill>
                <pic:spPr bwMode="auto">
                  <a:xfrm>
                    <a:off x="0" y="0"/>
                    <a:ext cx="225204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010591" cy="548640"/>
          <wp:effectExtent l="19050" t="0" r="8709" b="0"/>
          <wp:docPr id="58" name="Picture 2" descr="W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B_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591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762802" cy="548640"/>
          <wp:effectExtent l="19050" t="0" r="8848" b="0"/>
          <wp:docPr id="5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802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1BB"/>
    <w:multiLevelType w:val="hybridMultilevel"/>
    <w:tmpl w:val="0158C38E"/>
    <w:lvl w:ilvl="0" w:tplc="1974BCE2">
      <w:start w:val="1"/>
      <w:numFmt w:val="bullet"/>
      <w:lvlText w:val="-"/>
      <w:lvlJc w:val="left"/>
      <w:pPr>
        <w:ind w:left="2595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583CB7"/>
    <w:rsid w:val="00055F6D"/>
    <w:rsid w:val="000C6F79"/>
    <w:rsid w:val="000F52AD"/>
    <w:rsid w:val="00105A69"/>
    <w:rsid w:val="001064CD"/>
    <w:rsid w:val="0016242B"/>
    <w:rsid w:val="001A60FD"/>
    <w:rsid w:val="001D436B"/>
    <w:rsid w:val="001E37E8"/>
    <w:rsid w:val="001F3F23"/>
    <w:rsid w:val="00205E30"/>
    <w:rsid w:val="00282A29"/>
    <w:rsid w:val="00290DC6"/>
    <w:rsid w:val="002B7D5E"/>
    <w:rsid w:val="002E6B64"/>
    <w:rsid w:val="003464A7"/>
    <w:rsid w:val="003B1A51"/>
    <w:rsid w:val="003B2FBE"/>
    <w:rsid w:val="003F6FEF"/>
    <w:rsid w:val="00461C2B"/>
    <w:rsid w:val="00473465"/>
    <w:rsid w:val="004A2947"/>
    <w:rsid w:val="004D23CA"/>
    <w:rsid w:val="004E6569"/>
    <w:rsid w:val="005272D3"/>
    <w:rsid w:val="00583CB7"/>
    <w:rsid w:val="005F2158"/>
    <w:rsid w:val="00623E84"/>
    <w:rsid w:val="006B3E34"/>
    <w:rsid w:val="00737D00"/>
    <w:rsid w:val="00760BC4"/>
    <w:rsid w:val="00767CC7"/>
    <w:rsid w:val="007F3CD5"/>
    <w:rsid w:val="0080095D"/>
    <w:rsid w:val="00857604"/>
    <w:rsid w:val="008C233E"/>
    <w:rsid w:val="008E0016"/>
    <w:rsid w:val="00956426"/>
    <w:rsid w:val="00982DF1"/>
    <w:rsid w:val="00982E8C"/>
    <w:rsid w:val="009C3691"/>
    <w:rsid w:val="00A478A7"/>
    <w:rsid w:val="00A55AFB"/>
    <w:rsid w:val="00A77FFE"/>
    <w:rsid w:val="00A856DA"/>
    <w:rsid w:val="00AA0645"/>
    <w:rsid w:val="00AB5F5D"/>
    <w:rsid w:val="00AE3283"/>
    <w:rsid w:val="00B028B7"/>
    <w:rsid w:val="00B058FF"/>
    <w:rsid w:val="00B26340"/>
    <w:rsid w:val="00B760C6"/>
    <w:rsid w:val="00B93B78"/>
    <w:rsid w:val="00BA15A8"/>
    <w:rsid w:val="00BB6EF8"/>
    <w:rsid w:val="00BD39FE"/>
    <w:rsid w:val="00BE1CDB"/>
    <w:rsid w:val="00C42AAE"/>
    <w:rsid w:val="00C815AD"/>
    <w:rsid w:val="00C84A98"/>
    <w:rsid w:val="00C926A7"/>
    <w:rsid w:val="00C93149"/>
    <w:rsid w:val="00CB7421"/>
    <w:rsid w:val="00CC428B"/>
    <w:rsid w:val="00CC4D6B"/>
    <w:rsid w:val="00D21C12"/>
    <w:rsid w:val="00D533D6"/>
    <w:rsid w:val="00DA3410"/>
    <w:rsid w:val="00DC164A"/>
    <w:rsid w:val="00DC7AA4"/>
    <w:rsid w:val="00DE4FEB"/>
    <w:rsid w:val="00DF3531"/>
    <w:rsid w:val="00E10030"/>
    <w:rsid w:val="00E43433"/>
    <w:rsid w:val="00E5066F"/>
    <w:rsid w:val="00E930BA"/>
    <w:rsid w:val="00EC2D34"/>
    <w:rsid w:val="00ED67D6"/>
    <w:rsid w:val="00F147A0"/>
    <w:rsid w:val="00F54C26"/>
    <w:rsid w:val="00FA2BD1"/>
    <w:rsid w:val="00FE18FC"/>
    <w:rsid w:val="00FF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3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CB7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583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CB7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3CB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left">
    <w:name w:val="left"/>
    <w:basedOn w:val="DefaultParagraphFont"/>
    <w:rsid w:val="00583CB7"/>
  </w:style>
  <w:style w:type="paragraph" w:styleId="BodyText">
    <w:name w:val="Body Text"/>
    <w:basedOn w:val="Normal"/>
    <w:link w:val="BodyTextChar"/>
    <w:rsid w:val="009E2D6C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E2D6C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0E72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38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383"/>
    <w:rPr>
      <w:b/>
      <w:bCs/>
    </w:rPr>
  </w:style>
  <w:style w:type="paragraph" w:styleId="Revision">
    <w:name w:val="Revision"/>
    <w:hidden/>
    <w:uiPriority w:val="99"/>
    <w:semiHidden/>
    <w:rsid w:val="003456C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47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ghannam@ifc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www.doingbusiness.org/philippin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riaga@ifc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A687-6126-4267-84ED-8C76869A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Doing Business in the Philippines 2011</vt:lpstr>
    </vt:vector>
  </TitlesOfParts>
  <Company>The World Bank Group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Doing Business in the Philippines 2011</dc:title>
  <dc:creator>iilieva</dc:creator>
  <cp:lastModifiedBy>wb249358</cp:lastModifiedBy>
  <cp:revision>6</cp:revision>
  <cp:lastPrinted>2010-11-23T20:50:00Z</cp:lastPrinted>
  <dcterms:created xsi:type="dcterms:W3CDTF">2010-11-29T16:16:00Z</dcterms:created>
  <dcterms:modified xsi:type="dcterms:W3CDTF">2010-12-07T17:09:00Z</dcterms:modified>
</cp:coreProperties>
</file>